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AAC.6.i — Recall / amendment mechanism</w:t>
      </w:r>
    </w:p>
    <w:p>
      <w:r>
        <w:rPr>
          <w:b/>
          <w:sz w:val="30"/>
        </w:rPr>
        <w:t>AAC.6 Record 27 — Amended Report Issue &amp;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Amended report issued with caution note where previously issued; CAPA record. Every time this happens for real, whoever is responsible adds one new row to the table below, filling in: Report ID, Amended Report Issued (Y/N), CAPA Reference.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amended report issued with caution note where previously issued; CAPA record. The worked example below shows a real entry: report id was “LAB-2026-2290”, amended report issued (y/n) was “Yes”, capa reference was “CAPA-2026-014”.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fixed, and that something was done so it doesn't happen again.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'LAB-2026-2290'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Amended Report Issued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CAPA Reference: </w:t>
      </w:r>
      <w:r>
        <w:t>Enter the actual capa reference for this specific entry — real information from what actually happened, not a placeholder. The worked example row below shows 'CAPA-2026-014'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Amended Report Issued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CAPA Reference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LAB-2026-2290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CAPA-2026-014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