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AAC.7.b — Internal quality control</w:t>
      </w:r>
    </w:p>
    <w:p>
      <w:r>
        <w:rPr>
          <w:b/>
          <w:sz w:val="30"/>
        </w:rPr>
        <w:t>AAC.7 Record 4 — IQC Schedule and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IQC schedules and results for quantitative and qualitative parameters. Every time this happens for real, whoever is responsible adds one new row to the table below, filling in: Parameter, IQC Frequency, Result (Pass/Fail),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IQC schedules and results for quantitative and qualitative parameters. The worked example below shows a real entry: on 11-Jan-2026, parameter was “Glucose”, iqc frequency was “Daily” — so result (pass/fail) was “Pass”.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results deadline that exists only as a general expectation, never checked against real cases, isn't actually managed — this record is what proves how long results are genuinely taking, and what happened when they didn't.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Parameter: </w:t>
      </w:r>
      <w:r>
        <w:t>Enter the actual parameter for this specific entry — real information from what actually happened, not a placeholder. The worked example row below shows 'Glucose'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IQC Frequency: </w:t>
      </w:r>
      <w:r>
        <w:t>Enter the actual iqc frequency for this specific entry — real information from what actually happened, not a placeholder. The worked example row below shows 'Daily'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Result (Pass/Fail): </w:t>
      </w:r>
      <w:r>
        <w:t>What was actually found or what happened as a result — write the real outcome, not just 'done' or 'ok' without detail. The worked example row below shows 'Pass'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IQC Frequency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 (Pass/Fail)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Glucose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Daily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