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AAC.7.e — Laboratory safety programme implemented</w:t>
      </w:r>
    </w:p>
    <w:p>
      <w:r>
        <w:rPr>
          <w:b/>
          <w:sz w:val="30"/>
        </w:rPr>
        <w:t>AAC.7 Record 15 — Annual Safety Programme Review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Annual review record and alignment note with the organisation safety programme. Every time this happens for real, whoever is responsible adds one new row to the table below, filling in: Review Date, Reviewed By, Aligned with Org. Safety Programme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annual review record and alignment note with the organisation safety programme. The worked example below shows a real entry: on 10-Jan-2026, reviewed by was “Laboratory In-Charge”, aligned with org. safety programme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written guideline that's never checked against real practice is just a document — this record is what proves the rule is actually being followed on the ground, not just on paper.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Review Date: </w:t>
      </w:r>
      <w:r>
        <w:t>Enter the actual review date for this specific entry — real information from what actually happened, not a placeholder. The worked example row below shows '10-Jan-2026'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Reviewed By: </w:t>
      </w:r>
      <w:r>
        <w:t>Enter the actual reviewed by for this specific entry — real information from what actually happened, not a placeholder. The worked example row below shows 'Laboratory In-Charge'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Aligned with Org. Safety Programme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Review Date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Reviewed By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Aligned with Org. Safety Programme (Y/N)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Laboratory In-Charge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