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AAC.8.i — Outsourced imaging tests</w:t>
      </w:r>
    </w:p>
    <w:p>
      <w:r>
        <w:rPr>
          <w:b/>
          <w:sz w:val="30"/>
        </w:rPr>
        <w:t>AAC.8 Record 26 — Outsourced Imaging MoU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Current MoU/agreement incorporating quality assurance, per outsourced imaging centre. Every time this happens for real, whoever is responsible adds one new row to the table below, filling in: Outsourced Centre, MoU Reference, Valid Until, QA Clause Included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current MoU/agreement incorporating quality assurance, per outsourced imaging centre. The worked example below shows a real entry: outsourced centre was “XYZ Imaging Centre”, mou reference was “MoU-2025-021”, valid until was “31-Dec-2026”.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Outsourced Centre: </w:t>
      </w:r>
      <w:r>
        <w:t>Enter the actual outsourced centre for this specific entry — real information from what actually happened, not a placeholder. The worked example row below shows 'XYZ Imaging Centre'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MoU Reference: </w:t>
      </w:r>
      <w:r>
        <w:t>Enter the actual mou reference for this specific entry — real information from what actually happened, not a placeholder. The worked example row below shows 'MoU-2025-021'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Valid Until: </w:t>
      </w:r>
      <w:r>
        <w:t>Enter the actual valid until for this specific entry — real information from what actually happened, not a placeholder. The worked example row below shows '31-Dec-2026'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QA Clause Included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Outsourced Centre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MoU Reference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Valid Until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QA Clause Included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XYZ Imaging Centre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MoU-2025-021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31-Dec-2026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