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COP.1.f — Telemedicine (where provided)</w:t>
      </w:r>
    </w:p>
    <w:p>
      <w:r>
        <w:rPr>
          <w:b/>
          <w:sz w:val="30"/>
        </w:rPr>
        <w:t>COP.1 Record 10 — Telemedicine Guidance &amp; Safeguards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whether each telemedicine safeguard is covered in written guidance and when it was last reviewed — this is not a log of individual teleconsultations. Every time this happens for real, whoever is responsible adds one new row to the table below, filling in: Guidance Element, Covered in Written Guidance (Y/N),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whether each telemedicine safeguard is covered in written guidance and when it was last reviewed — this is not a log of individual teleconsultations. The worked example below shows a real entry: guidance element was “Patient identity &amp; confidentiality protection”, covered in written guidance (y/n) was “Yes”,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'Patient identity &amp; confidentiality protection'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Covered in Written Guidance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Covered in Written Guidance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Patient identity &amp; confidentiality protection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