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COP.10.a — Written guidance — obstetric care</w:t>
      </w:r>
    </w:p>
    <w:p>
      <w:r>
        <w:rPr>
          <w:b/>
          <w:sz w:val="30"/>
        </w:rPr>
        <w:t>COP.10 Record 1 — Obstetric Written Guidance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written guidance covers pregnant-patient assessment, ante-natal, peri-natal, and post-natal care, and defines high-risk criteria. Every time this happens for real, whoever is responsible adds one new row to the table below, filling in: Guidance Element, Document Reference,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written guidance covers pregnant-patient assessment, ante-natal, peri-natal, and post-natal care, and defines high-risk criteria. The worked example below shows a real entry: guidance element was “High-risk obstetric case definition”, document reference was “OBS-SOP-01, v1.2”,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Guidance Element: </w:t>
      </w:r>
      <w:r>
        <w:t>Enter the actual guidance element for this specific entry — real information from what actually happened, not a placeholder. The worked example row below shows 'High-risk obstetric case definition'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 Reference: </w:t>
      </w:r>
      <w:r>
        <w:t>Enter the actual document reference for this specific entry — real information from what actually happened, not a placeholder. The worked example row below shows 'OBS-SOP-01, v1.2'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Guidance 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 Reference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High-risk obstetric case definition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OBS-SOP-01, v1.2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