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COP.10.i — NICU (where in scope)</w:t>
      </w:r>
    </w:p>
    <w:p>
      <w:r>
        <w:rPr>
          <w:b/>
          <w:sz w:val="30"/>
        </w:rPr>
        <w:t>COP.10 Record 11 — NICU Provision Record (where high-risk obstetric care is in scope)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NICU level (I/II/III), equipment, and competent paediatric/neonatal staff. Every time this happens for real, whoever is responsible adds one new row to the table below, filling in: NICU Level, Equipment Available, Competent Staff Present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NICU level (I/II/III), equipment, and competent paediatric/neonatal staff. The worked example below shows a real entry: nicu level was “Level II”, equipment available was “Radiant warmers, phototherapy units, CPAP”, competent staff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service that's approved on paper but doesn't actually have the equipment or space it needs isn't safe to run — this record proves the real resources are actually in place, not just planned.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NICU Level: </w:t>
      </w:r>
      <w:r>
        <w:t>Enter the actual nicu level for this specific entry — real information from what actually happened, not a placeholder. The worked example row below shows 'Level II'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Equipment Available: </w:t>
      </w:r>
      <w:r>
        <w:t>Enter the actual equipment available for this specific entry — real information from what actually happened, not a placeholder. The worked example row below shows 'Radiant warmers, phototherapy units, CPAP'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Competent Staff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NICU Level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Equipment Available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Competent Staff Present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Level II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Radiant warmers, phototherapy units, CPAP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