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Labour and Delivery Monitoring</w:t>
      </w:r>
    </w:p>
    <w:p>
      <w:r>
        <w:t>«Hospital Name» — Supports COP.10.g, COP.10.h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monitors a woman through labour and the immediate post-natal period, with particular attention to post-partum haemorrhage.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monitors a woman through labour and the immediate post-natal period, with particular attention to post-partum haemorrhage.</w:t>
      </w:r>
    </w:p>
    <w:p>
      <w:pPr>
        <w:pStyle w:val="Heading1"/>
      </w:pPr>
      <w:r>
        <w:t>2. Scope</w:t>
      </w:r>
    </w:p>
    <w:p>
      <w:r>
        <w:t>Applies to every patient in active labour and through the immediate post-natal period.</w:t>
      </w:r>
    </w:p>
    <w:p>
      <w:pPr>
        <w:pStyle w:val="Heading1"/>
      </w:pPr>
      <w:r>
        <w:t>3. Responsibility</w:t>
      </w:r>
    </w:p>
    <w:p>
      <w:r>
        <w:t xml:space="preserve">Labour Room Doctor/Nurse: </w:t>
      </w:r>
      <w:r>
        <w:t>monitors foetal heart rate, labour progression, and post-natal bleeding.</w:t>
      </w:r>
    </w:p>
    <w:p>
      <w:pPr>
        <w:pStyle w:val="Heading1"/>
      </w:pPr>
      <w:r>
        <w:t>4.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Monitor foetal heart rate at the interval appropriate to the stage of labour and the patient's risk level.</w:t>
      </w:r>
    </w:p>
    <w:p>
      <w:r>
        <w:t>2. Track labour progression against the hospital's adopted labour-monitoring tool (e.g. a partograph or the WHO Labour Care Guide).</w:t>
      </w:r>
    </w:p>
    <w:p>
      <w:r>
        <w:t>3. On a partograph, progress is plotted against an alert line and an action line: crossing the alert line means progress is slower than expected and calls for closer monitoring; crossing the action line means active intervention or escalation (e.g. senior review, decision on mode of delivery) is needed without delay.</w:t>
      </w:r>
    </w:p>
    <w:p>
      <w:r>
        <w:t>4. Escalate immediately if foetal heart rate or labour progression falls outside the expected pattern.</w:t>
      </w:r>
    </w:p>
    <w:p>
      <w:r>
        <w:t>5. After delivery, estimate blood loss and monitor for post-partum haemorrhage at defined intervals (e.g. at delivery, 1 hour, 2 hours).</w:t>
      </w:r>
    </w:p>
    <w:p>
      <w:r>
        <w:t>6. Confirm uterine tone and bleeding are within expected limits before reducing monitoring frequency.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World Health Organization. (2020). WHO labour care guide: User's manual.</w:t>
        </w:r>
      </w:hyperlink>
    </w:p>
    <w:p>
      <w:pPr>
        <w:pStyle w:val="ListParagraph"/>
      </w:pPr>
      <w:r>
        <w:rPr>
          <w:i/>
          <w:sz w:val="18"/>
        </w:rPr>
        <w:t>World Health Organization. (2012). WHO recommendations for the prevention and treatment of postpartum haemorrhage.</w:t>
      </w:r>
    </w:p>
    <w:p>
      <w:pPr>
        <w:pStyle w:val="Heading1"/>
      </w:pPr>
      <w:r>
        <w:t>5.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Do not continue routine monitoring frequency if foetal heart rate is abnormal or post-partum bleeding exceeds expected limits — escalate immediately. Raising a concern about foetal heart rate or bleeding is never a disciplinary matter, regardless of seniority.</w:t>
      </w:r>
    </w:p>
    <w:p>
      <w:pPr>
        <w:pStyle w:val="Heading1"/>
      </w:pPr>
      <w:r>
        <w:t>6. Records</w:t>
      </w:r>
    </w:p>
    <w:p>
      <w:r>
        <w:t>Supported by Records 9 and 10 of the COP.10 Required Records pack.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Obstetric Care (HCO/COP/POL/10) — COP.10 policy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1">
        <w:r>
          <w:rPr>
            <w:color w:val="0563C1"/>
            <w:u w:val="single"/>
          </w:rPr>
          <w:t>WHO Recommendations: Intrapartum Care for a Positive Childbirth Experience (2018)</w:t>
        </w:r>
      </w:hyperlink>
    </w:p>
    <w:p>
      <w:pPr>
        <w:pStyle w:val="Heading1"/>
      </w:pPr>
      <w:r>
        <w:t>9. Review</w:t>
      </w:r>
    </w:p>
    <w:p>
      <w:r>
        <w:t>Reviewed annually, and immediately after any maternal or neonatal adverse event.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ho.int/publications/i/item/9789240017566" TargetMode="External"/><Relationship Id="rId10" Type="http://schemas.openxmlformats.org/officeDocument/2006/relationships/hyperlink" Target="https://nabh.co/programmes/hospitals-accreditation-programme-hco/" TargetMode="External"/><Relationship Id="rId11" Type="http://schemas.openxmlformats.org/officeDocument/2006/relationships/hyperlink" Target="https://www.who.int/publications/i/item/978924155021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