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COP.11.f — Abduction and abuse prevention (Stop-Work)</w:t>
      </w:r>
    </w:p>
    <w:p>
      <w:r>
        <w:rPr>
          <w:b/>
          <w:sz w:val="30"/>
        </w:rPr>
        <w:t>COP.11 Record 7 — Abduction/Abuse Prevention Guidance &amp; Security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status of each abduction/abuse-prevention and security element and when it was last verified — this is not a log of security incidents. Every time this happens for real, whoever is responsible adds one new row to the table below, filling in: Element, Status, Last Verified.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the status of each abduction/abuse-prevention and security element and when it was last verified — this is not a log of security incidents. The worked example below shows a real entry: element was “CCTV coverage — paediatric ward exits”, last verified was “10-Jan-2026” — so status was “Active, footage retained 30 days”.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Element: </w:t>
      </w:r>
      <w:r>
        <w:t>Enter the actual element for this specific entry — real information from what actually happened, not a placeholder. The worked example row below shows 'CCTV coverage — paediatric ward exits'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Status: </w:t>
      </w:r>
      <w:r>
        <w:t>Enter the actual status for this specific entry — real information from what actually happened, not a placeholder. The worked example row below shows 'Active, footage retained 30 days'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Verified: </w:t>
      </w:r>
      <w:r>
        <w:t>Enter the actual last verified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Verified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CCTV coverage — paediatric ward exits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Active, footage retained 30 days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