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COP.12.a — Written guidance and pre-sedation assessment</w:t>
      </w:r>
    </w:p>
    <w:p>
      <w:r>
        <w:rPr>
          <w:b/>
          <w:sz w:val="30"/>
        </w:rPr>
        <w:t>COP.12 Record 2 — Pre-Sedation Assessment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risk and appropriateness of sedation for every patient before the procedure. Every time this happens for real, whoever is responsible adds one new row to the table below, filling in: Patient ID, Procedure, Risk Assessed (Y/N), Assessed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risk and appropriateness of sedation for every patient before the procedure. The worked example below shows a real entry: patient id was “IP-2026-0501”, procedure was “Upper GI endoscopy”, risk assessed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risk that's never actually screened for is a risk nobody is managing — this record proves the screening happened for this specific patient, not just that a form exists.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'IP-2026-0501'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'Upper GI endoscopy' in this column, so you can see the level of detail expected — write your own real entry in that same style, not a copy of the example.</w:t>
      </w:r>
    </w:p>
    <w:p>
      <w:pPr>
        <w:pStyle w:val="ListParagraph"/>
      </w:pPr>
      <w:r>
        <w:rPr>
          <w:b/>
        </w:rPr>
        <w:t xml:space="preserve">Risk Assessed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Assessed By: </w:t>
      </w:r>
      <w:r>
        <w:t>Enter the actual assessed by for this specific entry — real information from what actually happened, not a placeholder. The worked example row below shows 'Dr. S. Rao'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Procedure</w:t>
            </w:r>
          </w:p>
        </w:tc>
        <w:tc>
          <w:tcPr>
            <w:tcW w:type="dxa" w:w="2420"/>
            <w:shd w:val="clear" w:fill="D9E2F3"/>
          </w:tcPr>
          <w:p>
            <w:r/>
            <w:r>
              <w:rPr>
                <w:b/>
                <w:sz w:val="20"/>
              </w:rPr>
              <w:t>Risk Assessed (Y/N)</w:t>
            </w:r>
          </w:p>
        </w:tc>
        <w:tc>
          <w:tcPr>
            <w:tcW w:type="dxa" w:w="2420"/>
            <w:shd w:val="clear" w:fill="D9E2F3"/>
          </w:tcPr>
          <w:p>
            <w:r/>
            <w:r>
              <w:rPr>
                <w:b/>
                <w:sz w:val="20"/>
              </w:rPr>
              <w:t>Assessed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IP-2026-0501</w:t>
            </w:r>
          </w:p>
        </w:tc>
        <w:tc>
          <w:tcPr>
            <w:tcW w:type="dxa" w:w="2420"/>
            <w:shd w:val="clear" w:fill="FFF2CC"/>
          </w:tcPr>
          <w:p>
            <w:r/>
            <w:r>
              <w:rPr>
                <w:b w:val="0"/>
                <w:sz w:val="20"/>
              </w:rPr>
              <w:t>Upper GI endoscopy</w:t>
            </w:r>
          </w:p>
        </w:tc>
        <w:tc>
          <w:tcPr>
            <w:tcW w:type="dxa" w:w="2420"/>
            <w:shd w:val="clear" w:fill="FFF2CC"/>
          </w:tcPr>
          <w:p>
            <w:r/>
            <w:r>
              <w:rPr>
                <w:b w:val="0"/>
                <w:sz w:val="20"/>
              </w:rPr>
              <w:t>Yes</w:t>
            </w:r>
          </w:p>
        </w:tc>
        <w:tc>
          <w:tcPr>
            <w:tcW w:type="dxa" w:w="2420"/>
            <w:shd w:val="clear" w:fill="FFF2CC"/>
          </w:tcPr>
          <w:p>
            <w:r/>
            <w:r>
              <w:rPr>
                <w:b w:val="0"/>
                <w:sz w:val="20"/>
              </w:rPr>
              <w:t>Dr. S. Rao</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