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COP.12.f/g — Post-sedation monitoring and discharge</w:t>
      </w:r>
    </w:p>
    <w:p>
      <w:r>
        <w:rPr>
          <w:b/>
          <w:sz w:val="30"/>
        </w:rPr>
        <w:t>COP.12 Record 7 — Sedation Discharge Criteria Application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a qualified individual applied documented discharge/transfer-out criteria for every patient. Every time this happens for real, whoever is responsible adds one new row to the table below, filling in: Patient ID, Criteria Applied (Y/N), Applied By, Discharge Time.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hands the patient over fills in a new row at the time the handover or transfer actually happens — in this case, that means a qualified individual applied documented discharge/transfer-out criteria for every patient. The worked example below shows a real entry: on 16:00, patient id was “IP-2026-0501”, criteria applied (y/n) was “Yes”, applied by was “Dr. S. Rao”.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a written, approved version of this, every clinician ends up applying their own judgement inconsistently, and there's nothing concrete to train new staff against.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'IP-2026-0501'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Criteria Applied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Applied By: </w:t>
      </w:r>
      <w:r>
        <w:t>Enter the actual applied by for this specific entry — real information from what actually happened, not a placeholder. The worked example row below shows 'Dr. S. Rao'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Discharge Time: </w:t>
      </w:r>
      <w:r>
        <w:t>The actual clock time this happened — not an estimate filled in later from memory. The worked example row below shows '16:00'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Criteria Applied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Applied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Discharge Time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IP-2026-0501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S. Rao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16:00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