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COP.12.h — Emergency equipment</w:t>
      </w:r>
    </w:p>
    <w:p>
      <w:r>
        <w:rPr>
          <w:b/>
          <w:sz w:val="30"/>
        </w:rPr>
        <w:t>COP.12 Record 9 — Airway Manager / Anaesthesiologist Availability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trained airway manager or anaesthesiologist is available on-site and able to respond quickly. Every time this happens for real, whoever is responsible adds one new row to the table below, filling in: Date/Shift, Airway Manager/Anaesthesiologist On Duty, Response Capability Confirmed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 trained airway manager or anaesthesiologist is available on-site and able to respond quickly. The worked example below shows a real entry: on 11-Jan-2026, Day Shift, airway manager/anaesthesiologist on duty was “Dr. C. Menon (Anaesthesiologist)” — so response capability confirmed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 an emergency, 'the right person is on the roster somewhere' isn't the same as 'the right person was actually there in time' — this record is proof of the second, not the first.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Date/Shift: </w:t>
      </w:r>
      <w:r>
        <w:t>Enter the actual date/shift for this specific entry — real information from what actually happened, not a placeholder. The worked example row below shows '11-Jan-2026, Day Shift'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Airway Manager/Anaesthesiologist On Duty: </w:t>
      </w:r>
      <w:r>
        <w:t>Name and designation of the actual clinician involved. The worked example row below shows 'Dr. C. Menon (Anaesthesiologist)'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Response Capability Confirmed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Date/Shift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Airway Manager/Anaesthesiologist On Duty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Response Capability Confirmed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11-Jan-2026, Day Shift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C. Menon (Anaesthesiologist)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