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COP.13.f/g — Post-anaesthesia monitoring and transfer</w:t>
      </w:r>
    </w:p>
    <w:p>
      <w:r>
        <w:rPr>
          <w:b/>
          <w:sz w:val="30"/>
        </w:rPr>
        <w:t>COP.13 Record 8 — Anaesthesia Transfer-Criteria Application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anaesthesiologist applied defined transfer criteria for every patient leaving recovery. Every time this happens for real, whoever is responsible adds one new row to the table below, filling in: Patient ID, Criteria Applied (Y/N), Applied By, Transferred To.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the anaesthesiologist applied defined transfer criteria for every patient leaving recovery. The worked example below shows a real entry: patient id was “IP-2026-0601”, criteria applied (y/n) was “Yes”, applied by was “Dr. C. Menon”.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'IP-2026-0601' in this column, so you can see the level of detail expected — write your own real entry in that same style, not a copy of the example.</w:t>
      </w:r>
    </w:p>
    <w:p>
      <w:pPr>
        <w:pStyle w:val="ListParagraph"/>
      </w:pPr>
      <w:r>
        <w:rPr>
          <w:b/>
        </w:rPr>
        <w:t xml:space="preserve">Criteria Applied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Applied By: </w:t>
      </w:r>
      <w:r>
        <w:t>Enter the actual applied by for this specific entry — real information from what actually happened, not a placeholder. The worked example row below shows 'Dr. C. Menon' in this column, so you can see the level of detail expected — write your own real entry in that same style, not a copy of the example.</w:t>
      </w:r>
    </w:p>
    <w:p>
      <w:pPr>
        <w:pStyle w:val="ListParagraph"/>
      </w:pPr>
      <w:r>
        <w:rPr>
          <w:b/>
        </w:rPr>
        <w:t xml:space="preserve">Transferred To: </w:t>
      </w:r>
      <w:r>
        <w:t>Enter the actual transferred to for this specific entry — real information from what actually happened, not a placeholder. The worked example row below shows 'Ward 3B'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Criteria Applied (Y/N)</w:t>
            </w:r>
          </w:p>
        </w:tc>
        <w:tc>
          <w:tcPr>
            <w:tcW w:type="dxa" w:w="2420"/>
            <w:shd w:val="clear" w:fill="D9E2F3"/>
          </w:tcPr>
          <w:p>
            <w:r/>
            <w:r>
              <w:rPr>
                <w:b/>
                <w:sz w:val="20"/>
              </w:rPr>
              <w:t>Applied By</w:t>
            </w:r>
          </w:p>
        </w:tc>
        <w:tc>
          <w:tcPr>
            <w:tcW w:type="dxa" w:w="2420"/>
            <w:shd w:val="clear" w:fill="D9E2F3"/>
          </w:tcPr>
          <w:p>
            <w:r/>
            <w:r>
              <w:rPr>
                <w:b/>
                <w:sz w:val="20"/>
              </w:rPr>
              <w:t>Transferred To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IP-2026-0601</w:t>
            </w:r>
          </w:p>
        </w:tc>
        <w:tc>
          <w:tcPr>
            <w:tcW w:type="dxa" w:w="2420"/>
            <w:shd w:val="clear" w:fill="FFF2CC"/>
          </w:tcPr>
          <w:p>
            <w:r/>
            <w:r>
              <w:rPr>
                <w:b w:val="0"/>
                <w:sz w:val="20"/>
              </w:rPr>
              <w:t>Yes</w:t>
            </w:r>
          </w:p>
        </w:tc>
        <w:tc>
          <w:tcPr>
            <w:tcW w:type="dxa" w:w="2420"/>
            <w:shd w:val="clear" w:fill="FFF2CC"/>
          </w:tcPr>
          <w:p>
            <w:r/>
            <w:r>
              <w:rPr>
                <w:b w:val="0"/>
                <w:sz w:val="20"/>
              </w:rPr>
              <w:t>Dr. C. Menon</w:t>
            </w:r>
          </w:p>
        </w:tc>
        <w:tc>
          <w:tcPr>
            <w:tcW w:type="dxa" w:w="2420"/>
            <w:shd w:val="clear" w:fill="FFF2CC"/>
          </w:tcPr>
          <w:p>
            <w:r/>
            <w:r>
              <w:rPr>
                <w:b w:val="0"/>
                <w:sz w:val="20"/>
              </w:rPr>
              <w:t>Ward 3B</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