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COP.16.e — Restraints (Stop-Work)</w:t>
      </w:r>
    </w:p>
    <w:p>
      <w:r>
        <w:rPr>
          <w:b/>
          <w:sz w:val="30"/>
        </w:rPr>
        <w:t>COP.16 Record 7 — Restraint Order &amp; Episode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Clinical order per episode, documented before/at initiation, with review; reason and time frame documented for each episode. Every time this happens for real, whoever is responsible adds one new row to the table below, filling in: Patient ID, Ordered By, Order Time, Reason, Time Frame, Review Done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clinical order per episode, documented before/at initiation, with review; reason and time frame documented for each episode. The worked example below shows a real entry: on 14:00, patient id was “IP-2026-0925”, ordered by was “Dr. C. Menon”, reason was “Prevent line removal, agitation”.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restraint used without a written clinical order, a stated reason, and a timed review is exactly how a safety measure turns into an unmonitored one — this record is the proof it was properly ordered and reviewed.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Ordered By: </w:t>
      </w:r>
      <w:r>
        <w:t>Enter the actual ordered by for this specific entry — real information from what actually happened, not a placeholder.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Order Time: </w:t>
      </w:r>
      <w:r>
        <w:t>The actual clock time this happened — not an estimate filled in later from memory. The worked example row below shows '14:00'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'Prevent line removal, agitation'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Frame: </w:t>
      </w:r>
      <w:r>
        <w:t>The actual clock time this happened — not an estimate filled in later from memory. The worked example row below shows '4 hours, then reassess'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Ordered By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Order Time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Time Frame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Review Done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IP-2026-0925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14:00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Prevent line removal, agitation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4 hours, then reassess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