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COP.16.e — Restraints (Stop-Work)</w:t>
      </w:r>
    </w:p>
    <w:p>
      <w:r>
        <w:rPr>
          <w:b/>
          <w:sz w:val="30"/>
        </w:rPr>
        <w:t>COP.16 Record 8 — Restraint Family Explanation &amp;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family explanation and consent where statutory requirements call for it. Every time this happens for real, whoever is responsible adds one new row to the table below, filling in: Patient ID, Family Explained (Y/N), Consent Obtained (Y/N), Explained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 — in this case, that means family explanation and consent where statutory requirements call for it. The worked example below shows a real entry: patient id was “IP-2026-0925”, family explained (y/n) was “Yes”, consent obtained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that wasn't actually explained, or wasn't properly witnessed, isn't valid consent even if a signature exists — this record is where that gets verified.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'IP-2026-0925'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Family Explained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Consent Obtained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Explained By: </w:t>
      </w:r>
      <w:r>
        <w:t>Name of the staff member who actually did this — the real person, not a department name. The worked example row below shows 'Dr. C. Menon'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Family Explained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Consent Obtained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Explained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IP-2026-0925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C. Menon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