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COP.17.c — Detailed pain assessment</w:t>
      </w:r>
    </w:p>
    <w:p>
      <w:r>
        <w:rPr>
          <w:b/>
          <w:sz w:val="30"/>
        </w:rPr>
        <w:t>COP.17 Record 3 — Detailed Pain Assessment Trigger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detailed assessment was triggered by pain as the predominant symptom, or automatically for post-operative patients. Every time this happens for real, whoever is responsible adds one new row to the table below, filling in: Patient ID, Trigger, Assessment Done (Y/N), Tool Used.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detailed assessment was triggered by pain as the predominant symptom, or automatically for post-operative patients. The worked example below shows a real entry: patient id was “IP-2026-1001”, trigger was “Pain as predominant symptom”, assessment done (y/n) was “Yes”.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partial or skipped assessment misses exactly the thing it was designed to catch — this record is the proof every required part was actually completed, not just some of them.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'IP-2026-1001'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Trigger: </w:t>
      </w:r>
      <w:r>
        <w:t>Enter the actual trigger for this specific entry — real information from what actually happened, not a placeholder. The worked example row below shows 'Pain as predominant symptom'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Assessment Done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Tool Used: </w:t>
      </w:r>
      <w:r>
        <w:t>Enter the actual tool used for this specific entry — real information from what actually happened, not a placeholder. The worked example row below shows 'Numeric Rating Scale'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Trigger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Assessment Done (Y/N)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Tool Used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IP-2026-1001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Pain as predominant symptom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Numeric Rating Scale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