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COP.18.g — Care pathways</w:t>
      </w:r>
    </w:p>
    <w:p>
      <w:r>
        <w:rPr>
          <w:b/>
          <w:sz w:val="30"/>
        </w:rPr>
        <w:t>COP.18 Record 9 — Rehabilitation Care Pathway Development &amp; Implementation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care pathways are developed and actively in clinical use. Every time this happens for real, whoever is responsible adds one new row to the table below, filling in: Pathway, Developed (Y/N), In Active Use (Y/N), Developed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care pathways are developed and actively in clinical use. The worked example below shows a real entry: pathway was “Post-Stroke Rehabilitation Pathway”, developed (y/n) was “Yes”, in active use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care pathway that's written but never actually used in real clinical decisions is a document, not a practice — this record proves it's genuinely guiding real patient care.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Pathway: </w:t>
      </w:r>
      <w:r>
        <w:t>Enter the actual pathway for this specific entry — real information from what actually happened, not a placeholder. The worked example row below shows 'Post-Stroke Rehabilitation Pathway'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Developed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 Active Use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Developed By: </w:t>
      </w:r>
      <w:r>
        <w:t>Enter the actual developed by for this specific entry — real information from what actually happened, not a placeholder. The worked example row below shows 'Physiotherapy Dept. + Neurology'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Pathway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Developed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 Active Use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Developed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Post-Stroke Rehabilitation Pathway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Physiotherapy Dept. + Neurology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