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COP.20.a — Written guidance</w:t>
      </w:r>
    </w:p>
    <w:p>
      <w:r>
        <w:rPr>
          <w:b/>
          <w:sz w:val="30"/>
        </w:rPr>
        <w:t>COP.20 Record 1 — End-of-Life Care Written Guidance — Five Areas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guidance covers all five content areas, based on national/international good practice and law, incorporating the DNR/DNI/AND legal framework. Every time this happens for real, whoever is responsible adds one new row to the table below, filling in: Guidance Element, Document Reference, Last Reviewed.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document owner issues a new version only when the actual guidance genuinely changes, keeping every past version rather than overwriting it — in this case, that means guidance covers all five content areas, based on national/international good practice and law, incorporating the DNR/DNI/AND legal framework. The worked example below shows a real entry: guidance element was “DNR/DNI/AND legal framework incorporated”, document reference was “EOL-SOP-01, v1.1”, last reviewed was “05-Jan-2026”.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Without a written, approved version of this, every clinician ends up applying their own judgement inconsistently, and there's nothing concrete to train new staff against.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Guidance Element: </w:t>
      </w:r>
      <w:r>
        <w:t>Enter the actual guidance element for this specific entry — real information from what actually happened, not a placeholder. The worked example row below shows 'DNR/DNI/AND legal framework incorporated'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Document Reference: </w:t>
      </w:r>
      <w:r>
        <w:t>Enter the actual document reference for this specific entry — real information from what actually happened, not a placeholder. The worked example row below shows 'EOL-SOP-01, v1.1'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Reviewed: </w:t>
      </w:r>
      <w:r>
        <w:t>Enter the actual last reviewed for this specific entry — real information from what actually happened, not a placeholder. The worked example row below shows '05-Jan-2026'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Guidance Element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Document Reference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DNR/DNI/AND legal framework incorporated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EOL-SOP-01, v1.1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