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COP.20.c — DNR / DNI / AND decisions</w:t>
      </w:r>
    </w:p>
    <w:p>
      <w:r>
        <w:rPr>
          <w:b/>
          <w:sz w:val="30"/>
        </w:rPr>
        <w:t>COP.20 Record 3 — DNR / DNI / AND Decision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each decision, confirming it was made within the applicable statutory/judicial framework, with legal basis stated. Every time this happens for real, whoever is responsible adds one new row to the table below, filling in: Patient ID, Decision Type, Legal Basis Stated, Decided By,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each decision, confirming it was made within the applicable statutory/judicial framework, with legal basis stated. The worked example below shows a real entry: on 12-Jan-2026, patient id was “IP-2026-1301”, legal basis stated was “Per ICMR DNR Guideline &amp; Supreme Court 2023 directive”, decided by was “Dr. A. Rao, family consensus” — so decision type was “DNR”.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end-of-life decision this serious has to be traceable to a real legal and clinical basis, not just a note in the file — this record is that traceable basis.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Decision Type: </w:t>
      </w:r>
      <w:r>
        <w:t>Enter the actual decision type for this specific entry — real information from what actually happened, not a placeholder. The worked example row below shows 'DNR'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Legal Basis Stated: </w:t>
      </w:r>
      <w:r>
        <w:t>Enter the actual legal basis stated for this specific entry — real information from what actually happened, not a placeholder. The worked example row below shows 'Per ICMR DNR Guideline &amp; Supreme Court 2023 directive'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Decided By: </w:t>
      </w:r>
      <w:r>
        <w:t>Enter the actual decided by for this specific entry — real information from what actually happened, not a placeholder. The worked example row below shows 'Dr. A. Rao, family consensus'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'12-Jan-2026'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Decision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Legal Basis Stated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Decided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IP-2026-1301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DNR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Per ICMR DNR Guideline &amp; Supreme Court 2023 directive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Rao, family consensus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