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COP.6.a — Written guidance and clinical practice guidelines</w:t>
      </w:r>
    </w:p>
    <w:p>
      <w:r>
        <w:rPr>
          <w:b/>
          <w:sz w:val="30"/>
        </w:rPr>
        <w:t>COP.6 Record 1 — Nursing Written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nursing manual/SOPs/CPGs cover basic nursing practices and specific clinical situations. Every time this happens for real, whoever is responsible adds one new row to the table below, filling in: Topic, Document Reference, Basis (Best Practice/Evidence),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nursing manual/SOPs/CPGs cover basic nursing practices and specific clinical situations. The worked example below shows a real entry: topic was “Wound dressing technique”, document reference was “NURS-SOP-04, v1.3”, basis (best practice/evidence) was “Evidence-based (WHO wound care guidance)”.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Topic: </w:t>
      </w:r>
      <w:r>
        <w:t>Enter the actual topic for this specific entry — real information from what actually happened, not a placeholder. The worked example row below shows 'Wound dressing technique'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'NURS-SOP-04, v1.3'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Basis (Best Practice/Evidence): </w:t>
      </w:r>
      <w:r>
        <w:t>Enter the actual basis (best practice/evidence) for this specific entry — real information from what actually happened, not a placeholder. The worked example row below shows 'Evidence-based (WHO wound care guidance)'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Topic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Basis (Best Practice/Evidence)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Wound dressing technique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NURS-SOP-04, v1.3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Evidence-based (WHO wound care guidance)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