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COP.8.a — Registered blood centre and outsourcing</w:t>
      </w:r>
    </w:p>
    <w:p>
      <w:r>
        <w:rPr>
          <w:b/>
          <w:sz w:val="30"/>
        </w:rPr>
        <w:t>COP.8 Record 1 — Blood Centre Source &amp; MoU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blood/components come from a registered in-house or outsourced blood centre, with signed MoU where outsourced. Every time this happens for real, whoever is responsible adds one new row to the table below, filling in: Source, Registered (Y/N), MoU Reference (if outsourced), Valid Until.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blood/components come from a registered in-house or outsourced blood centre, with signed MoU where outsourced. The worked example below shows a real entry: source was “ABC Blood Bank Pvt. Ltd.”, registered (y/n) was “Yes”, mou reference (if outsourced) was “MoU-2025-040”.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Blood or a service sourced from an unregistered or unverified outside provider, with no signed agreement, is a real patient-safety gap disguised as a paperwork formality — this record proves the source is legitimate and the agreement is real.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Source: </w:t>
      </w:r>
      <w:r>
        <w:t>Enter the actual source for this specific entry — real information from what actually happened, not a placeholder. The worked example row below shows 'ABC Blood Bank Pvt. Ltd.'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Registered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MoU Reference (if outsourced): </w:t>
      </w:r>
      <w:r>
        <w:t>Enter the actual mou reference (if outsourced) for this specific entry — real information from what actually happened, not a placeholder. The worked example row below shows 'MoU-2025-040'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Valid Until: </w:t>
      </w:r>
      <w:r>
        <w:t>Enter the actual valid until for this specific entry — real information from what actually happened, not a placeholder. The worked example row below shows '31-Dec-2026'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Source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Registered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MoU Reference (if outsourced)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Valid Until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ABC Blood Bank Pvt. Ltd.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MoU-2025-040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31-Dec-2026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