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COP.8.c — Safe storage from collection to transfusion</w:t>
      </w:r>
    </w:p>
    <w:p>
      <w:r>
        <w:rPr>
          <w:b/>
          <w:sz w:val="30"/>
        </w:rPr>
        <w:t>COP.8 Record 7 — Blood Storage Temperature &amp; Labelling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Temperature logs for whole blood, components, and storage environment; separate untested/tested storage; labelling after TTI clearance only. Every time this happens for real, whoever is responsible adds one new row to the table below, filling in: Date, Storage Unit, Temperature, Within Range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test enters a new row the moment a real sample is actually processed — in this case, that means temperature logs for whole blood, components, and storage environment; separate untested/tested storage; labelling after TTI clearance only. The worked example below shows a real entry: on 11-Jan-2026, storage unit was “Blood Bank Refrigerator 1”, temperature was “4.2°C”, within range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test result that isn't actually run and checked before it's used clinically defeats the point of testing at all — this record proves the real check happened for this specific sample, not just that a process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Storage Unit: </w:t>
      </w:r>
      <w:r>
        <w:t>Enter the actual storage unit for this specific entry — real information from what actually happened, not a placeholder. The worked example row below shows 'Blood Bank Refrigerator 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Temperature: </w:t>
      </w:r>
      <w:r>
        <w:t>Enter the actual temperature for this specific entry — real information from what actually happened, not a placeholder. The worked example row below shows '4.2°C'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Within Range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Storage Unit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Temperature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Within Range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Blood Bank Refrigerator 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4.2°C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