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COP.8.d — Transfusion elements, mismatch prevention and HBTC</w:t>
      </w:r>
    </w:p>
    <w:p>
      <w:r>
        <w:rPr>
          <w:b/>
          <w:sz w:val="30"/>
        </w:rPr>
        <w:t>COP.8 Record 9 — Mismatch Prevention &amp; Rational-Use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mismatch-prevention measures and evidence-based indications for transfusion. Every time this happens for real, whoever is responsible adds one new row to the table below, filling in: Patient ID, Blood Group Cross-Checked Twice (Y/N), Indication per Guideline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mismatch-prevention measures and evidence-based indications for transfusion. The worked example below shows a real entry: patient id was “IP-2026-0350”, blood group cross-checked twice (y/n) was “Yes”, indication per guideline (y/n) was “Yes — Hb &lt;7 g/dL, symptomatic anaemia”.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Giving blood without checking it's the right match, or without a real clinical reason, is exactly how a preventable transfusion reaction happens — this record proves both checks were actually done.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'IP-2026-0350'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Blood Group Cross-Checked Twice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Indication per Guideline (Y/N): </w:t>
      </w:r>
      <w:r>
        <w:t>Answer honestly with what's actually true — Y or N. Don't default to Y without checking. The worked example row below shows 'Yes — Hb &lt;7 g/dL, symptomatic anaemia'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Blood Group Cross-Checked Twice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Indication per Guideline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IP-2026-0350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 — Hb &lt;7 g/dL, symptomatic anaemia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