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COP.9.g — Counselling records</w:t>
      </w:r>
    </w:p>
    <w:p>
      <w:r>
        <w:rPr>
          <w:b/>
          <w:sz w:val="30"/>
        </w:rPr>
        <w:t>COP.9 Record 10 — Daily Family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Daily counselling entries in patient records (written or audio-video), and counselling for every significant condition change. Every time this happens for real, whoever is responsible adds one new row to the table below, filling in: Patient ID, Date, Counselled By, Significant Change Discussed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gives the counselling fills this in right after a real session with a real patient or family — in this case, that means daily counselling entries in patient records (written or audio-video), and counselling for every significant condition change. The worked example below shows a real entry: on 11-Jan-2026, patient id was “IP-2026-0410”, counselled by was “Dr. C. Menon”, significant change discussed (y/n) was “Yes — started vasopressor support”.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made for a patient or family without them actually understanding it isn't informed care — this record is the proof real counselling happened, not just that a form was signed.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'IP-2026-0410'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Counselled By: </w:t>
      </w:r>
      <w:r>
        <w:t>Name of the staff member who actually did this — the real person, not a department name. The worked example row below shows 'Dr.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Significant Change Discussed (Y/N): </w:t>
      </w:r>
      <w:r>
        <w:t>Answer honestly with what's actually true — Y or N. Don't default to Y without checking. The worked example row below shows 'Yes — started vasopressor support'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Counselled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Significant Change Discussed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IP-2026-0410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 — started vasopressor support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