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FMS.2.d — Potable water and electricity are available round the clock.</w:t>
      </w:r>
    </w:p>
    <w:p>
      <w:r>
        <w:rPr>
          <w:b/>
          <w:sz w:val="30"/>
        </w:rPr>
        <w:t>FMS.2 Record 10 — Potable water and electricity are available round the clock.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“Potable-water test results: biochemical at least quarterly and microbiological at least monthly, against IS 10500.” — the specific evidence element Potable water and electricity are available round the clock. of this policy asks for. Every time this happens for real, whoever is responsible adds one new row below with: Test Date, Tap/Location, Test Type, Parameter/Result, Against Standard, Laboratory, Corrective Action (if failed),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water is tested, or a continuity plan is actually activated during an outage. The worked example below shows a real entry: on 10-Jan-2026, tap/location was “ICU nursing station tap”, test type was “Microbiological”, parameter/result was “Total coliform: absent/100ml” — so corrective action (if failed) was “N/A — passed”.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Water or power that quietly falls short of standard is invisible until a patient is harmed by it — this record proves it was actually tested, not just assumed safe. This is a CORE requirement — NABH treats it as non-negotiable, not aspirational.</w:t>
            </w:r>
          </w:p>
        </w:tc>
      </w:tr>
    </w:tbl>
    <w:p/>
    <w:p>
      <w:r>
        <w:rPr>
          <w:b/>
          <w:sz w:val="22"/>
        </w:rPr>
        <w:t>How to fill this in — column by column</w:t>
      </w:r>
    </w:p>
    <w:p>
      <w:pPr>
        <w:pStyle w:val="ListParagraph"/>
      </w:pPr>
      <w:r>
        <w:rPr>
          <w:b/>
        </w:rPr>
        <w:t xml:space="preserve">Test Date: </w:t>
      </w:r>
      <w:r>
        <w:t>The actual date water was collected and tested — at the user end (tap), not just the source.</w:t>
      </w:r>
    </w:p>
    <w:p>
      <w:pPr>
        <w:pStyle w:val="ListParagraph"/>
      </w:pPr>
      <w:r>
        <w:rPr>
          <w:b/>
        </w:rPr>
        <w:t xml:space="preserve">Tap/Location: </w:t>
      </w:r>
      <w:r>
        <w:t>The exact tap or location the sample was drawn from — a result from one tap doesn't confirm another.</w:t>
      </w:r>
    </w:p>
    <w:p>
      <w:pPr>
        <w:pStyle w:val="ListParagraph"/>
      </w:pPr>
      <w:r>
        <w:rPr>
          <w:b/>
        </w:rPr>
        <w:t xml:space="preserve">Test Type: </w:t>
      </w:r>
      <w:r>
        <w:t>Biochemical (quarterly) or microbiological (monthly) — name which.</w:t>
      </w:r>
    </w:p>
    <w:p>
      <w:pPr>
        <w:pStyle w:val="ListParagraph"/>
      </w:pPr>
      <w:r>
        <w:rPr>
          <w:b/>
        </w:rPr>
        <w:t xml:space="preserve">Parameter/Result: </w:t>
      </w:r>
      <w:r>
        <w:t>The actual parameter tested and its real result — not just 'passed.'</w:t>
      </w:r>
    </w:p>
    <w:p>
      <w:pPr>
        <w:pStyle w:val="ListParagraph"/>
      </w:pPr>
      <w:r>
        <w:rPr>
          <w:b/>
        </w:rPr>
        <w:t xml:space="preserve">Against Standard: </w:t>
      </w:r>
      <w:r>
        <w:t>The standard this result is checked against.</w:t>
      </w:r>
    </w:p>
    <w:p>
      <w:pPr>
        <w:pStyle w:val="ListParagraph"/>
      </w:pPr>
      <w:r>
        <w:rPr>
          <w:b/>
        </w:rPr>
        <w:t xml:space="preserve">Laboratory: </w:t>
      </w:r>
      <w:r>
        <w:t>Which laboratory actually ran the test — traceability matters as much as the result.</w:t>
      </w:r>
    </w:p>
    <w:p>
      <w:pPr>
        <w:pStyle w:val="ListParagraph"/>
      </w:pPr>
      <w:r>
        <w:rPr>
          <w:b/>
        </w:rPr>
        <w:t xml:space="preserve">Corrective Action (if failed): </w:t>
      </w:r>
      <w:r>
        <w:t>What was actually done if the test failed — write 'N/A — passed' if it didn't.</w:t>
      </w:r>
    </w:p>
    <w:p>
      <w:pPr>
        <w:pStyle w:val="ListParagraph"/>
      </w:pPr>
      <w:r>
        <w:rPr>
          <w:b/>
        </w:rPr>
        <w:t xml:space="preserve">Next Test Due: </w:t>
      </w:r>
      <w:r>
        <w:t>When this test is next due.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0"/>
        <w:gridCol w:w="1210"/>
        <w:gridCol w:w="1210"/>
        <w:gridCol w:w="1210"/>
        <w:gridCol w:w="1210"/>
        <w:gridCol w:w="1210"/>
        <w:gridCol w:w="1210"/>
        <w:gridCol w:w="1210"/>
      </w:tblGrid>
      <w:tr>
        <w:tc>
          <w:tcPr>
            <w:tcW w:type="dxa" w:w="1210"/>
            <w:shd w:val="clear" w:fill="D9E2F3"/>
          </w:tcPr>
          <w:p>
            <w:r/>
            <w:r>
              <w:rPr>
                <w:b/>
                <w:sz w:val="20"/>
              </w:rPr>
              <w:t>Test Date</w:t>
            </w:r>
          </w:p>
        </w:tc>
        <w:tc>
          <w:tcPr>
            <w:tcW w:type="dxa" w:w="1210"/>
            <w:shd w:val="clear" w:fill="D9E2F3"/>
          </w:tcPr>
          <w:p>
            <w:r/>
            <w:r>
              <w:rPr>
                <w:b/>
                <w:sz w:val="20"/>
              </w:rPr>
              <w:t>Tap/Location</w:t>
            </w:r>
          </w:p>
        </w:tc>
        <w:tc>
          <w:tcPr>
            <w:tcW w:type="dxa" w:w="1210"/>
            <w:shd w:val="clear" w:fill="D9E2F3"/>
          </w:tcPr>
          <w:p>
            <w:r/>
            <w:r>
              <w:rPr>
                <w:b/>
                <w:sz w:val="20"/>
              </w:rPr>
              <w:t>Test Type</w:t>
            </w:r>
          </w:p>
        </w:tc>
        <w:tc>
          <w:tcPr>
            <w:tcW w:type="dxa" w:w="1210"/>
            <w:shd w:val="clear" w:fill="D9E2F3"/>
          </w:tcPr>
          <w:p>
            <w:r/>
            <w:r>
              <w:rPr>
                <w:b/>
                <w:sz w:val="20"/>
              </w:rPr>
              <w:t>Parameter/Result</w:t>
            </w:r>
          </w:p>
        </w:tc>
        <w:tc>
          <w:tcPr>
            <w:tcW w:type="dxa" w:w="1210"/>
            <w:shd w:val="clear" w:fill="D9E2F3"/>
          </w:tcPr>
          <w:p>
            <w:r/>
            <w:r>
              <w:rPr>
                <w:b/>
                <w:sz w:val="20"/>
              </w:rPr>
              <w:t>Against Standard</w:t>
            </w:r>
          </w:p>
        </w:tc>
        <w:tc>
          <w:tcPr>
            <w:tcW w:type="dxa" w:w="1210"/>
            <w:shd w:val="clear" w:fill="D9E2F3"/>
          </w:tcPr>
          <w:p>
            <w:r/>
            <w:r>
              <w:rPr>
                <w:b/>
                <w:sz w:val="20"/>
              </w:rPr>
              <w:t>Laboratory</w:t>
            </w:r>
          </w:p>
        </w:tc>
        <w:tc>
          <w:tcPr>
            <w:tcW w:type="dxa" w:w="1210"/>
            <w:shd w:val="clear" w:fill="D9E2F3"/>
          </w:tcPr>
          <w:p>
            <w:r/>
            <w:r>
              <w:rPr>
                <w:b/>
                <w:sz w:val="20"/>
              </w:rPr>
              <w:t>Corrective Action (if failed)</w:t>
            </w:r>
          </w:p>
        </w:tc>
        <w:tc>
          <w:tcPr>
            <w:tcW w:type="dxa" w:w="1210"/>
            <w:shd w:val="clear" w:fill="D9E2F3"/>
          </w:tcPr>
          <w:p>
            <w:r/>
            <w:r>
              <w:rPr>
                <w:b/>
                <w:sz w:val="20"/>
              </w:rPr>
              <w:t>Next Test Due</w:t>
            </w:r>
          </w:p>
        </w:tc>
      </w:tr>
      <w:tr>
        <w:tc>
          <w:tcPr>
            <w:tcW w:type="dxa" w:w="9680"/>
            <w:gridSpan w:val="8"/>
            <w:shd w:val="clear" w:fill="FFF2CC"/>
          </w:tcPr>
          <w:p>
            <w:r/>
            <w:r>
              <w:rPr>
                <w:b/>
                <w:sz w:val="18"/>
              </w:rPr>
              <w:t>WORKED EXAMPLE — TRAINING ONLY — NOT AN ACTUAL HOSPITAL RECORD</w:t>
            </w:r>
          </w:p>
        </w:tc>
      </w:tr>
      <w:tr>
        <w:tc>
          <w:tcPr>
            <w:tcW w:type="dxa" w:w="1210"/>
            <w:shd w:val="clear" w:fill="FFF2CC"/>
          </w:tcPr>
          <w:p>
            <w:r/>
            <w:r>
              <w:rPr>
                <w:b w:val="0"/>
                <w:sz w:val="20"/>
              </w:rPr>
              <w:t>10-Jan-2026</w:t>
            </w:r>
          </w:p>
        </w:tc>
        <w:tc>
          <w:tcPr>
            <w:tcW w:type="dxa" w:w="1210"/>
            <w:shd w:val="clear" w:fill="FFF2CC"/>
          </w:tcPr>
          <w:p>
            <w:r/>
            <w:r>
              <w:rPr>
                <w:b w:val="0"/>
                <w:sz w:val="20"/>
              </w:rPr>
              <w:t>ICU nursing station tap</w:t>
            </w:r>
          </w:p>
        </w:tc>
        <w:tc>
          <w:tcPr>
            <w:tcW w:type="dxa" w:w="1210"/>
            <w:shd w:val="clear" w:fill="FFF2CC"/>
          </w:tcPr>
          <w:p>
            <w:r/>
            <w:r>
              <w:rPr>
                <w:b w:val="0"/>
                <w:sz w:val="20"/>
              </w:rPr>
              <w:t>Microbiological</w:t>
            </w:r>
          </w:p>
        </w:tc>
        <w:tc>
          <w:tcPr>
            <w:tcW w:type="dxa" w:w="1210"/>
            <w:shd w:val="clear" w:fill="FFF2CC"/>
          </w:tcPr>
          <w:p>
            <w:r/>
            <w:r>
              <w:rPr>
                <w:b w:val="0"/>
                <w:sz w:val="20"/>
              </w:rPr>
              <w:t>Total coliform: absent/100ml</w:t>
            </w:r>
          </w:p>
        </w:tc>
        <w:tc>
          <w:tcPr>
            <w:tcW w:type="dxa" w:w="1210"/>
            <w:shd w:val="clear" w:fill="FFF2CC"/>
          </w:tcPr>
          <w:p>
            <w:r/>
            <w:r>
              <w:rPr>
                <w:b w:val="0"/>
                <w:sz w:val="20"/>
              </w:rPr>
              <w:t>IS 10500</w:t>
            </w:r>
          </w:p>
        </w:tc>
        <w:tc>
          <w:tcPr>
            <w:tcW w:type="dxa" w:w="1210"/>
            <w:shd w:val="clear" w:fill="FFF2CC"/>
          </w:tcPr>
          <w:p>
            <w:r/>
            <w:r>
              <w:rPr>
                <w:b w:val="0"/>
                <w:sz w:val="20"/>
              </w:rPr>
              <w:t>NABL-accredited lab, ref. no. WL-2026-014</w:t>
            </w:r>
          </w:p>
        </w:tc>
        <w:tc>
          <w:tcPr>
            <w:tcW w:type="dxa" w:w="1210"/>
            <w:shd w:val="clear" w:fill="FFF2CC"/>
          </w:tcPr>
          <w:p>
            <w:r/>
            <w:r>
              <w:rPr>
                <w:b w:val="0"/>
                <w:sz w:val="20"/>
              </w:rPr>
              <w:t>N/A — passed</w:t>
            </w:r>
          </w:p>
        </w:tc>
        <w:tc>
          <w:tcPr>
            <w:tcW w:type="dxa" w:w="1210"/>
            <w:shd w:val="clear" w:fill="FFF2CC"/>
          </w:tcPr>
          <w:p>
            <w:r/>
            <w:r>
              <w:rPr>
                <w:b w:val="0"/>
                <w:sz w:val="20"/>
              </w:rPr>
              <w:t>10-Feb-2026</w:t>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