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FMS.4.h — Written guidance supports equipment replacement, identification of unwanted material and disposal.</w:t>
      </w:r>
    </w:p>
    <w:p>
      <w:r>
        <w:rPr>
          <w:b/>
          <w:sz w:val="30"/>
        </w:rPr>
        <w:t>FMS.4 Record 22 — Written guidance supports equipment replacement, identification of unwanted material and disposal.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equipment-replacement and disposal guidance.” — the specific evidence element Written guidance supports equipment replacement, identification of unwanted material and disposal.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Engineering In-Charge uses this record whenever utility/engineering equipment is condemned and disposed of. The worked example below shows a real entry: on 10-Jan-2026, version was “v1.0”, approved by was “Facility Manager / Medical Superintendent”, covers was “Equipment-replacement and disposal guidance for utility/engineering equipment”.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or material disposed of with no record is untraceable if something later goes wrong with how it was disposed of — this record closes that gap.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Equipment-replacement and disposal guidance for utility/engineering equipment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