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FMS.5.g — There is monitoring of medical equipment and medical devices related to adverse events, and compliance hazard notices on recalls.</w:t>
      </w:r>
    </w:p>
    <w:p>
      <w:r>
        <w:rPr>
          <w:b/>
          <w:sz w:val="30"/>
        </w:rPr>
        <w:t>FMS.5 Record 19 — There is monitoring of medical equipment and medical devices related to adverse events, and compliance hazard notices on recalls.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“Adverse-event and hazard-notice/recall log for medical equipment and devices.” — the specific evidence element There is monitoring of medical equipment and medical devices related to adverse events, and compliance hazard notices on recalls. of this policy asks for. Every time this happens for real, whoever is responsible adds one new row below with: Date, Device, Adverse Event/Recall Notice, Source,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adverse-event or recall notice is received, a device is withdrawn, or MvPI participation is logged. The worked example below shows a real entry: on 18-Jan-2026, device was “Syringe pump, model AB-100”, adverse event/recall notice was “Manufacturer recall notice — battery overheating risk”, source was “Manufacturer / MvPI / Regulator” — so outcome was “Device identified and quarantined pending replacement parts”.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recalled device left in clinical use because nobody was tracking manufacturer notices is exactly how a known fault reaches a patient — this record proves recalls are actually being monitored and acted on, including through MvPI.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actual date this was received or reported.</w:t>
      </w:r>
    </w:p>
    <w:p>
      <w:pPr>
        <w:pStyle w:val="ListParagraph"/>
      </w:pPr>
      <w:r>
        <w:rPr>
          <w:b/>
        </w:rPr>
        <w:t xml:space="preserve">Device: </w:t>
      </w:r>
      <w:r>
        <w:t>The specific device — name model and, where relevant, its location.</w:t>
      </w:r>
    </w:p>
    <w:p>
      <w:pPr>
        <w:pStyle w:val="ListParagraph"/>
      </w:pPr>
      <w:r>
        <w:rPr>
          <w:b/>
        </w:rPr>
        <w:t xml:space="preserve">Adverse Event/Recall Notice: </w:t>
      </w:r>
      <w:r>
        <w:t>What the real notice or adverse event actually said.</w:t>
      </w:r>
    </w:p>
    <w:p>
      <w:pPr>
        <w:pStyle w:val="ListParagraph"/>
      </w:pPr>
      <w:r>
        <w:rPr>
          <w:b/>
        </w:rPr>
        <w:t xml:space="preserve">Source: </w:t>
      </w:r>
      <w:r>
        <w:t>Where this notice actually came from.</w:t>
      </w:r>
    </w:p>
    <w:p>
      <w:pPr>
        <w:pStyle w:val="ListParagraph"/>
      </w:pPr>
      <w:r>
        <w:rPr>
          <w:b/>
        </w:rPr>
        <w:t xml:space="preserve">Outcome: </w:t>
      </w:r>
      <w:r>
        <w:t>What was actually done as a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Device</w:t>
            </w:r>
          </w:p>
        </w:tc>
        <w:tc>
          <w:tcPr>
            <w:tcW w:type="dxa" w:w="1936"/>
            <w:shd w:val="clear" w:fill="D9E2F3"/>
          </w:tcPr>
          <w:p>
            <w:r/>
            <w:r>
              <w:rPr>
                <w:b/>
                <w:sz w:val="20"/>
              </w:rPr>
              <w:t>Adverse Event/Recall Notice</w:t>
            </w:r>
          </w:p>
        </w:tc>
        <w:tc>
          <w:tcPr>
            <w:tcW w:type="dxa" w:w="1936"/>
            <w:shd w:val="clear" w:fill="D9E2F3"/>
          </w:tcPr>
          <w:p>
            <w:r/>
            <w:r>
              <w:rPr>
                <w:b/>
                <w:sz w:val="20"/>
              </w:rPr>
              <w:t>Source</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18-Jan-2026</w:t>
            </w:r>
          </w:p>
        </w:tc>
        <w:tc>
          <w:tcPr>
            <w:tcW w:type="dxa" w:w="1936"/>
            <w:shd w:val="clear" w:fill="FFF2CC"/>
          </w:tcPr>
          <w:p>
            <w:r/>
            <w:r>
              <w:rPr>
                <w:b w:val="0"/>
                <w:sz w:val="20"/>
              </w:rPr>
              <w:t>Syringe pump, model AB-100</w:t>
            </w:r>
          </w:p>
        </w:tc>
        <w:tc>
          <w:tcPr>
            <w:tcW w:type="dxa" w:w="1936"/>
            <w:shd w:val="clear" w:fill="FFF2CC"/>
          </w:tcPr>
          <w:p>
            <w:r/>
            <w:r>
              <w:rPr>
                <w:b w:val="0"/>
                <w:sz w:val="20"/>
              </w:rPr>
              <w:t>Manufacturer recall notice — battery overheating risk</w:t>
            </w:r>
          </w:p>
        </w:tc>
        <w:tc>
          <w:tcPr>
            <w:tcW w:type="dxa" w:w="1936"/>
            <w:shd w:val="clear" w:fill="FFF2CC"/>
          </w:tcPr>
          <w:p>
            <w:r/>
            <w:r>
              <w:rPr>
                <w:b w:val="0"/>
                <w:sz w:val="20"/>
              </w:rPr>
              <w:t>Manufacturer / MvPI / Regulator</w:t>
            </w:r>
          </w:p>
        </w:tc>
        <w:tc>
          <w:tcPr>
            <w:tcW w:type="dxa" w:w="1936"/>
            <w:shd w:val="clear" w:fill="FFF2CC"/>
          </w:tcPr>
          <w:p>
            <w:r/>
            <w:r>
              <w:rPr>
                <w:b w:val="0"/>
                <w:sz w:val="20"/>
              </w:rPr>
              <w:t>Device identified and quarantined pending replacement parts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