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FMS.5.g — There is monitoring of medical equipment and medical devices related to adverse events, and compliance hazard notices on recalls.</w:t>
      </w:r>
    </w:p>
    <w:p>
      <w:r>
        <w:rPr>
          <w:b/>
          <w:sz w:val="30"/>
        </w:rPr>
        <w:t>FMS.5 Record 21 — There is monitoring of medical equipment and medical devices related to adverse events, and compliance hazard notices on recalls.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“Materiovigilance Programme of India participation record, where applicable.” — the specific evidence element There is monitoring of medical equipment and medical devices related to adverse events, and compliance hazard notices on recalls. of this policy asks for. Every time this happens for real, whoever is responsible adds one new row below with: Date, Device, Adverse Event/Recall Notice, Source, Outcome.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Biomedical Engineer uses this record whenever an adverse-event or recall notice is received, a device is withdrawn, or MvPI participation is logged. The worked example below shows a real entry: on 18-Jan-2026, device was “Not applicable — routine MvPI reporting period”, adverse event/recall notice was “Materiovigilance Programme of India (MvPI) quarterly return”, source was “Manufacturer / MvPI / Regulator” — so outcome was “Filed on time; no adverse events to report this quarter”.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recalled device left in clinical use because nobody was tracking manufacturer notices is exactly how a known fault reaches a patient — this record proves recalls are actually being monitored and acted on, including through MvPI.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Date: </w:t>
      </w:r>
      <w:r>
        <w:t>The actual date this was received or reported.</w:t>
      </w:r>
    </w:p>
    <w:p>
      <w:pPr>
        <w:pStyle w:val="ListParagraph"/>
      </w:pPr>
      <w:r>
        <w:rPr>
          <w:b/>
        </w:rPr>
        <w:t xml:space="preserve">Device: </w:t>
      </w:r>
      <w:r>
        <w:t>The specific device — name model and, where relevant, its location.</w:t>
      </w:r>
    </w:p>
    <w:p>
      <w:pPr>
        <w:pStyle w:val="ListParagraph"/>
      </w:pPr>
      <w:r>
        <w:rPr>
          <w:b/>
        </w:rPr>
        <w:t xml:space="preserve">Adverse Event/Recall Notice: </w:t>
      </w:r>
      <w:r>
        <w:t>What the real notice or adverse event actually said.</w:t>
      </w:r>
    </w:p>
    <w:p>
      <w:pPr>
        <w:pStyle w:val="ListParagraph"/>
      </w:pPr>
      <w:r>
        <w:rPr>
          <w:b/>
        </w:rPr>
        <w:t xml:space="preserve">Source: </w:t>
      </w:r>
      <w:r>
        <w:t>Where this notice actually came from.</w:t>
      </w:r>
    </w:p>
    <w:p>
      <w:pPr>
        <w:pStyle w:val="ListParagraph"/>
      </w:pPr>
      <w:r>
        <w:rPr>
          <w:b/>
        </w:rPr>
        <w:t xml:space="preserve">Outcome: </w:t>
      </w:r>
      <w:r>
        <w:t>What was actually done as a result.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Device</w:t>
            </w:r>
          </w:p>
        </w:tc>
        <w:tc>
          <w:tcPr>
            <w:tcW w:type="dxa" w:w="1936"/>
            <w:shd w:val="clear" w:fill="D9E2F3"/>
          </w:tcPr>
          <w:p>
            <w:r/>
            <w:r>
              <w:rPr>
                <w:b/>
                <w:sz w:val="20"/>
              </w:rPr>
              <w:t>Adverse Event/Recall Notice</w:t>
            </w:r>
          </w:p>
        </w:tc>
        <w:tc>
          <w:tcPr>
            <w:tcW w:type="dxa" w:w="1936"/>
            <w:shd w:val="clear" w:fill="D9E2F3"/>
          </w:tcPr>
          <w:p>
            <w:r/>
            <w:r>
              <w:rPr>
                <w:b/>
                <w:sz w:val="20"/>
              </w:rPr>
              <w:t>Source</w:t>
            </w:r>
          </w:p>
        </w:tc>
        <w:tc>
          <w:tcPr>
            <w:tcW w:type="dxa" w:w="1936"/>
            <w:shd w:val="clear" w:fill="D9E2F3"/>
          </w:tcPr>
          <w:p>
            <w:r/>
            <w:r>
              <w:rPr>
                <w:b/>
                <w:sz w:val="20"/>
              </w:rPr>
              <w:t>Outcome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18-Jan-2026</w:t>
            </w:r>
          </w:p>
        </w:tc>
        <w:tc>
          <w:tcPr>
            <w:tcW w:type="dxa" w:w="1936"/>
            <w:shd w:val="clear" w:fill="FFF2CC"/>
          </w:tcPr>
          <w:p>
            <w:r/>
            <w:r>
              <w:rPr>
                <w:b w:val="0"/>
                <w:sz w:val="20"/>
              </w:rPr>
              <w:t>Not applicable — routine MvPI reporting period</w:t>
            </w:r>
          </w:p>
        </w:tc>
        <w:tc>
          <w:tcPr>
            <w:tcW w:type="dxa" w:w="1936"/>
            <w:shd w:val="clear" w:fill="FFF2CC"/>
          </w:tcPr>
          <w:p>
            <w:r/>
            <w:r>
              <w:rPr>
                <w:b w:val="0"/>
                <w:sz w:val="20"/>
              </w:rPr>
              <w:t>Materiovigilance Programme of India (MvPI) quarterly return</w:t>
            </w:r>
          </w:p>
        </w:tc>
        <w:tc>
          <w:tcPr>
            <w:tcW w:type="dxa" w:w="1936"/>
            <w:shd w:val="clear" w:fill="FFF2CC"/>
          </w:tcPr>
          <w:p>
            <w:r/>
            <w:r>
              <w:rPr>
                <w:b w:val="0"/>
                <w:sz w:val="20"/>
              </w:rPr>
              <w:t>Manufacturer / MvPI / Regulator</w:t>
            </w:r>
          </w:p>
        </w:tc>
        <w:tc>
          <w:tcPr>
            <w:tcW w:type="dxa" w:w="1936"/>
            <w:shd w:val="clear" w:fill="FFF2CC"/>
          </w:tcPr>
          <w:p>
            <w:r/>
            <w:r>
              <w:rPr>
                <w:b w:val="0"/>
                <w:sz w:val="20"/>
              </w:rPr>
              <w:t>Filed on time; no adverse events to report this quarter</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