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FMS.6.a — Written guidance governs the implementation of procurement, handling, storage, distribution, usage and replenishment of medical gases.</w:t>
      </w:r>
    </w:p>
    <w:p>
      <w:r>
        <w:rPr>
          <w:b/>
          <w:sz w:val="30"/>
        </w:rPr>
        <w:t>FMS.6 Record 3 — Written guidance governs the implementation of procurement, handling, storage, distribution, usage and replenishment of medical gases.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“Statutory-provision record (Explosives Act, Gas Cylinder Rules, Static and Mobile Pressure Vessels Rules) where those apply to this hospital's gases.” — the specific evidence element Written guidance governs the implementation of procurement, handling, storage, distribution, usage and replenishment of medical gases. of this policy asks for. Every time this happens for real, whoever is responsible adds one new row below with: Statute/Rule, Applies To, Compliance Status,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medical-gas guidance is written, a reference standard applied, or a statutory provision checked. The worked example below shows a real entry: statute/rule was “Gas Cylinder Rules, 2004 (under the Explosives Act, 1884)”, applies to was “Oxygen cylinder storage and handling”, last verified was “10-Jan-2026” — so compliance status was “Compliant — valid licence on file”.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gases handled without real, written, statute-aware guidance is how a cylinder gets mishandled in a way that's actively dangerous — this record proves the guidance is real and the relevant statutes were actually checked.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Statute/Rule: </w:t>
      </w:r>
      <w:r>
        <w:t>The exact statute or rule — name it precisely.</w:t>
      </w:r>
    </w:p>
    <w:p>
      <w:pPr>
        <w:pStyle w:val="ListParagraph"/>
      </w:pPr>
      <w:r>
        <w:rPr>
          <w:b/>
        </w:rPr>
        <w:t xml:space="preserve">Applies To: </w:t>
      </w:r>
      <w:r>
        <w:t>What part of the hospital's gas operations this actually applies to.</w:t>
      </w:r>
    </w:p>
    <w:p>
      <w:pPr>
        <w:pStyle w:val="ListParagraph"/>
      </w:pPr>
      <w:r>
        <w:rPr>
          <w:b/>
        </w:rPr>
        <w:t xml:space="preserve">Compliance Status: </w:t>
      </w:r>
      <w:r>
        <w:t>The real compliance status — not just 'compliant' with nothing behind it.</w:t>
      </w:r>
    </w:p>
    <w:p>
      <w:pPr>
        <w:pStyle w:val="ListParagraph"/>
      </w:pPr>
      <w:r>
        <w:rPr>
          <w:b/>
        </w:rPr>
        <w:t xml:space="preserve">Last Verified: </w:t>
      </w:r>
      <w:r>
        <w:t>The date this was last actually verified.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Statute/Rule</w:t>
            </w:r>
          </w:p>
        </w:tc>
        <w:tc>
          <w:tcPr>
            <w:tcW w:type="dxa" w:w="2420"/>
            <w:shd w:val="clear" w:fill="D9E2F3"/>
          </w:tcPr>
          <w:p>
            <w:r/>
            <w:r>
              <w:rPr>
                <w:b/>
                <w:sz w:val="20"/>
              </w:rPr>
              <w:t>Applies To</w:t>
            </w:r>
          </w:p>
        </w:tc>
        <w:tc>
          <w:tcPr>
            <w:tcW w:type="dxa" w:w="2420"/>
            <w:shd w:val="clear" w:fill="D9E2F3"/>
          </w:tcPr>
          <w:p>
            <w:r/>
            <w:r>
              <w:rPr>
                <w:b/>
                <w:sz w:val="20"/>
              </w:rPr>
              <w:t>Compliance Status</w:t>
            </w:r>
          </w:p>
        </w:tc>
        <w:tc>
          <w:tcPr>
            <w:tcW w:type="dxa" w:w="2420"/>
            <w:shd w:val="clear" w:fill="D9E2F3"/>
          </w:tcPr>
          <w:p>
            <w:r/>
            <w:r>
              <w:rPr>
                <w:b/>
                <w:sz w:val="20"/>
              </w:rPr>
              <w:t>Last Verified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Gas Cylinder Rules, 2004 (under the Explosives Act, 1884)</w:t>
            </w:r>
          </w:p>
        </w:tc>
        <w:tc>
          <w:tcPr>
            <w:tcW w:type="dxa" w:w="2420"/>
            <w:shd w:val="clear" w:fill="FFF2CC"/>
          </w:tcPr>
          <w:p>
            <w:r/>
            <w:r>
              <w:rPr>
                <w:b w:val="0"/>
                <w:sz w:val="20"/>
              </w:rPr>
              <w:t>Oxygen cylinder storage and handling</w:t>
            </w:r>
          </w:p>
        </w:tc>
        <w:tc>
          <w:tcPr>
            <w:tcW w:type="dxa" w:w="2420"/>
            <w:shd w:val="clear" w:fill="FFF2CC"/>
          </w:tcPr>
          <w:p>
            <w:r/>
            <w:r>
              <w:rPr>
                <w:b w:val="0"/>
                <w:sz w:val="20"/>
              </w:rPr>
              <w:t>Compliant — valid licence on file</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