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FMS.6.d — Alternate sources for medical gases, vacuum and compressed air are provided for, in case of failure.</w:t>
      </w:r>
    </w:p>
    <w:p>
      <w:r>
        <w:rPr>
          <w:b/>
          <w:sz w:val="30"/>
        </w:rPr>
        <w:t>FMS.6 Record 12 — Alternate sources for medical gases, vacuum and compressed air are provided for, in case of failure.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“Alternate-source readiness confirmation log.” — the specific evidence element Alternate sources for medical gases, vacuum and compressed air are provided for, in case of failure. of this policy asks for. Every time this happens for real, whoever is responsible adds one new row below with: Date, Alternate Source, Readiness Check Result, Checked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a standby gas/vacuum source is inventoried, changeover-tested, or its readiness confirmed. The worked example below shows a real entry: on 15-Jan-2026, alternate source was “Standby vacuum pump”, checked by was “Facility Engineer” — so readiness check result was “Started on demand; reached rated vacuum in 40 seconds”.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standby gas or vacuum source that's never actually tested for readiness is a backup in name only — this record proves it genuinely works on demand. This is a CORE requirement — NABH treats it as non-negotiable, not aspirational.</w:t>
            </w:r>
          </w:p>
        </w:tc>
      </w:tr>
    </w:tbl>
    <w:p/>
    <w:p>
      <w:r>
        <w:rPr>
          <w:b/>
          <w:sz w:val="22"/>
        </w:rPr>
        <w:t>How to fill this in — column by column</w:t>
      </w:r>
    </w:p>
    <w:p>
      <w:pPr>
        <w:pStyle w:val="ListParagraph"/>
      </w:pPr>
      <w:r>
        <w:rPr>
          <w:b/>
        </w:rPr>
        <w:t xml:space="preserve">Date: </w:t>
      </w:r>
      <w:r>
        <w:t>The actual date checked.</w:t>
      </w:r>
    </w:p>
    <w:p>
      <w:pPr>
        <w:pStyle w:val="ListParagraph"/>
      </w:pPr>
      <w:r>
        <w:rPr>
          <w:b/>
        </w:rPr>
        <w:t xml:space="preserve">Alternate Source: </w:t>
      </w:r>
      <w:r>
        <w:t>The specific alternate source — name it.</w:t>
      </w:r>
    </w:p>
    <w:p>
      <w:pPr>
        <w:pStyle w:val="ListParagraph"/>
      </w:pPr>
      <w:r>
        <w:rPr>
          <w:b/>
        </w:rPr>
        <w:t xml:space="preserve">Readiness Check Result: </w:t>
      </w:r>
      <w:r>
        <w:t>What was actually found — a real result, not 'OK.'</w:t>
      </w:r>
    </w:p>
    <w:p>
      <w:pPr>
        <w:pStyle w:val="ListParagraph"/>
      </w:pPr>
      <w:r>
        <w:rPr>
          <w:b/>
        </w:rPr>
        <w:t xml:space="preserve">Checked By: </w:t>
      </w:r>
      <w:r>
        <w:t>Who actually checked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Alternate Source</w:t>
            </w:r>
          </w:p>
        </w:tc>
        <w:tc>
          <w:tcPr>
            <w:tcW w:type="dxa" w:w="2420"/>
            <w:shd w:val="clear" w:fill="D9E2F3"/>
          </w:tcPr>
          <w:p>
            <w:r/>
            <w:r>
              <w:rPr>
                <w:b/>
                <w:sz w:val="20"/>
              </w:rPr>
              <w:t>Readiness Check Result</w:t>
            </w:r>
          </w:p>
        </w:tc>
        <w:tc>
          <w:tcPr>
            <w:tcW w:type="dxa" w:w="2420"/>
            <w:shd w:val="clear" w:fill="D9E2F3"/>
          </w:tcPr>
          <w:p>
            <w:r/>
            <w:r>
              <w:rPr>
                <w:b/>
                <w:sz w:val="20"/>
              </w:rPr>
              <w:t>Checked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Standby vacuum pump</w:t>
            </w:r>
          </w:p>
        </w:tc>
        <w:tc>
          <w:tcPr>
            <w:tcW w:type="dxa" w:w="2420"/>
            <w:shd w:val="clear" w:fill="FFF2CC"/>
          </w:tcPr>
          <w:p>
            <w:r/>
            <w:r>
              <w:rPr>
                <w:b w:val="0"/>
                <w:sz w:val="20"/>
              </w:rPr>
              <w:t>Started on demand; reached rated vacuum in 40 seconds</w:t>
            </w:r>
          </w:p>
        </w:tc>
        <w:tc>
          <w:tcPr>
            <w:tcW w:type="dxa" w:w="2420"/>
            <w:shd w:val="clear" w:fill="FFF2CC"/>
          </w:tcPr>
          <w:p>
            <w:r/>
            <w:r>
              <w:rPr>
                <w:b w:val="0"/>
                <w:sz w:val="20"/>
              </w:rPr>
              <w:t>Facility Engineer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