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HRM.1.a — Human resource planning supports current and future patient needs.</w:t>
      </w:r>
    </w:p>
    <w:p>
      <w:r>
        <w:rPr>
          <w:b/>
          <w:sz w:val="30"/>
        </w:rPr>
        <w:t>HRM.1 Record 3 — Human resource planning supports current and future patient needs.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“Corrective-action record for a variance found during the year.” — the specific evidence element Human resource planning supports current and future patient needs.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every year when the workforce plan is prepared, and again whenever a variance from the plan is found and corrected during the year. The worked example below shows a real entry: on 10-Jan-2026, version was 'v1.0', approved by was 'Medical Superintendent / HR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Workforce planning has to be a structured process matched to the hospital's mission, patient volume/mix, services and technology, done with real stakeholder input — this record is the proof a real plan exists, using a recognised staffing method, and that a variance found during the year actually fed into the next plan.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departments/scope, don't write 'all staff.'</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Medical Superintendent / HR In-Charge</w:t>
            </w:r>
          </w:p>
        </w:tc>
        <w:tc>
          <w:tcPr>
            <w:tcW w:type="dxa" w:w="1936"/>
            <w:shd w:val="clear" w:fill="FFF2CC"/>
          </w:tcPr>
          <w:p>
            <w:r/>
            <w:r>
              <w:rPr>
                <w:b w:val="0"/>
                <w:sz w:val="20"/>
              </w:rPr>
              <w:t>Annual workforce plan for all clinical and non-clinical departments</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