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HRM.1.f — Reporting relationships defined.</w:t>
      </w:r>
    </w:p>
    <w:p>
      <w:r>
        <w:rPr>
          <w:b/>
          <w:sz w:val="30"/>
        </w:rPr>
        <w:t>HRM.1 Record 18 — Reporting relationships defined.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“Dissemination record to stakeholders.” — the specific evidence element Reporting relationships defined. of this policy asks for. Every time this happens for real, whoever is responsible adds one new row below with: Version, Date Approved, Level Covered, Disseminated To,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the organisation chart is approved or revised and disseminated. The worked example below shows a real entry: on 12-Jan-2026, version was 'v3.0', level covered was 'Hospital-wide + Nursing department-level'.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undocumented chain of command is exactly how accountability gaps and confusion happen during a real incident — the organisation chart has to be transparent and actually disseminated, not just drawn once and filed.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for this chart.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Level Covered: </w:t>
      </w:r>
      <w:r>
        <w:t>Which level this chart covers — hospital-wide, or a specific department.</w:t>
      </w:r>
    </w:p>
    <w:p>
      <w:pPr>
        <w:pStyle w:val="ListParagraph"/>
      </w:pPr>
      <w:r>
        <w:rPr>
          <w:b/>
        </w:rPr>
        <w:t xml:space="preserve">Disseminated To: </w:t>
      </w:r>
      <w:r>
        <w:t>Where/to whom this version was actually disseminated.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chart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Level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Disseminated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v3.0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Hospital-wide + Nursing department-level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All department heads, notice boards, intranet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