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HRM.12.e — Requisite services known to nurse and relevant departments.</w:t>
      </w:r>
    </w:p>
    <w:p>
      <w:r>
        <w:rPr>
          <w:b/>
          <w:sz w:val="30"/>
        </w:rPr>
        <w:t>HRM.12 Record 7 — Requisite services known to nurse and relevant departments.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“Communicated-service record to the nurse and to nursing services and concerned departments, with an internal-communication record.” — the specific evidence element Requisite services known to nurse and relevant departments. of this policy asks for. Every time this happens for real, whoever is responsible adds one new row below with: Professional Name, Departments Informed, Method, Date.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Nursing Superintendent's office fills this in whenever a nurse's privileging is communicated internally. The worked example below shows a real entry: on 13-Jan-2026, professional name was 'N. Thomas (Staff Nurse)', departments informed was 'Medicine ward nursing station, Pharmacy (medication-administration rights)'.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If nursing services and the concerned department don't actually know what a nurse is privileged for, the privileging boundary can't be enforced on the ward.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Professional Name: </w:t>
      </w:r>
      <w:r>
        <w:t>The actual professional whose privileging was communicated.</w:t>
      </w:r>
    </w:p>
    <w:p>
      <w:pPr>
        <w:pStyle w:val="ListParagraph"/>
      </w:pPr>
      <w:r>
        <w:rPr>
          <w:b/>
        </w:rPr>
        <w:t xml:space="preserve">Departments Informed: </w:t>
      </w:r>
      <w:r>
        <w:t>The specific departments actually informed.</w:t>
      </w:r>
    </w:p>
    <w:p>
      <w:pPr>
        <w:pStyle w:val="ListParagraph"/>
      </w:pPr>
      <w:r>
        <w:rPr>
          <w:b/>
        </w:rPr>
        <w:t xml:space="preserve">Method: </w:t>
      </w:r>
      <w:r>
        <w:t>How this was actually communicated.</w:t>
      </w:r>
    </w:p>
    <w:p>
      <w:pPr>
        <w:pStyle w:val="ListParagraph"/>
      </w:pPr>
      <w:r>
        <w:rPr>
          <w:b/>
        </w:rPr>
        <w:t xml:space="preserve">Date: </w:t>
      </w:r>
      <w:r>
        <w:t>The date this communication actually happened.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Professional Name</w:t>
            </w:r>
          </w:p>
        </w:tc>
        <w:tc>
          <w:tcPr>
            <w:tcW w:type="dxa" w:w="2420"/>
            <w:shd w:val="clear" w:fill="D9E2F3"/>
          </w:tcPr>
          <w:p>
            <w:r/>
            <w:r>
              <w:rPr>
                <w:b/>
                <w:sz w:val="20"/>
              </w:rPr>
              <w:t>Departments Informed</w:t>
            </w:r>
          </w:p>
        </w:tc>
        <w:tc>
          <w:tcPr>
            <w:tcW w:type="dxa" w:w="2420"/>
            <w:shd w:val="clear" w:fill="D9E2F3"/>
          </w:tcPr>
          <w:p>
            <w:r/>
            <w:r>
              <w:rPr>
                <w:b/>
                <w:sz w:val="20"/>
              </w:rPr>
              <w:t>Method</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N. Thomas (Staff Nurse)</w:t>
            </w:r>
          </w:p>
        </w:tc>
        <w:tc>
          <w:tcPr>
            <w:tcW w:type="dxa" w:w="2420"/>
            <w:shd w:val="clear" w:fill="FFF2CC"/>
          </w:tcPr>
          <w:p>
            <w:r/>
            <w:r>
              <w:rPr>
                <w:b w:val="0"/>
                <w:sz w:val="20"/>
              </w:rPr>
              <w:t>Medicine ward nursing station, Pharmacy (medication-administration rights)</w:t>
            </w:r>
          </w:p>
        </w:tc>
        <w:tc>
          <w:tcPr>
            <w:tcW w:type="dxa" w:w="2420"/>
            <w:shd w:val="clear" w:fill="FFF2CC"/>
          </w:tcPr>
          <w:p>
            <w:r/>
            <w:r>
              <w:rPr>
                <w:b w:val="0"/>
                <w:sz w:val="20"/>
              </w:rPr>
              <w:t>Written circular + system access update</w:t>
            </w:r>
          </w:p>
        </w:tc>
        <w:tc>
          <w:tcPr>
            <w:tcW w:type="dxa" w:w="2420"/>
            <w:shd w:val="clear" w:fill="FFF2CC"/>
          </w:tcPr>
          <w:p>
            <w:r/>
            <w:r>
              <w:rPr>
                <w:b w:val="0"/>
                <w:sz w:val="20"/>
              </w:rPr>
              <w:t>13-Jan-2026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