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HRM.2.d — Administrative HR procedures documented.</w:t>
      </w:r>
    </w:p>
    <w:p>
      <w:r>
        <w:rPr>
          <w:b/>
          <w:sz w:val="30"/>
        </w:rPr>
        <w:t>HRM.2 Record 11 — Administrative HR procedures documented.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“Current-version record held by HR.” — the specific evidence element Administrative HR procedures documented. of this policy asks for. Every time this happens for real, whoever is responsible adds one new row below with: Procedure, Version, Date Approved, Covered at Induction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an administrative procedure is approved or revised. The worked example below shows a real entry: on 10-Jan-2026, procedure was 'Leave procedure',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Undocumented attendance, leave, conduct and replacement procedures produce inconsistent, disputable decisions every time they're applied.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The specific administrative procedure — name it (attendance, leave, conduct, replacement, etc.).</w:t>
      </w:r>
    </w:p>
    <w:p>
      <w:pPr>
        <w:pStyle w:val="ListParagraph"/>
      </w:pPr>
      <w:r>
        <w:rPr>
          <w:b/>
        </w:rPr>
        <w:t xml:space="preserve">Version: </w:t>
      </w:r>
      <w:r>
        <w:t>The version currently in force.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Covered at Induction (Y/N): </w:t>
      </w:r>
      <w:r>
        <w:t>Whether this procedure is actually covered during induction — check,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Covered at Induction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Leave procedure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