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HRM.5.a — Blood and blood product handling training.</w:t>
      </w:r>
    </w:p>
    <w:p>
      <w:r>
        <w:rPr>
          <w:b/>
          <w:sz w:val="30"/>
        </w:rPr>
        <w:t>HRM.5 Record 2 — Blood and blood product handling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“Training-content record — safe transport, informed consent, documentation, transfusion-reaction handling.” — the specific evidence element Blood and blood product handling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Blood Bank Medical Officer fills this in whenever relevant staff complete blood-handling training. The worked example below shows a real entry: on 10-Jan-2026, staff name was 'T. Das (Blood Bank Technician)', topic / course was 'Safe blood transport, informed consent, transfusion-reaction handling'.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Untrained staff handling blood or blood products risk a missed consent step, mishandled transport, or an unrecognised transfusion reaction — this is the staff-training layer behind the blood-transfusion policy itself.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T. Das (Blood Bank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Safe blood transport, informed consent, transfusion-reaction handling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Blood Bank Medical Officer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