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HRM.5.e — Periodic CPR training.</w:t>
      </w:r>
    </w:p>
    <w:p>
      <w:r>
        <w:rPr>
          <w:b/>
          <w:sz w:val="30"/>
        </w:rPr>
        <w:t>HRM.5 Record 11 — Periodic CPR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“Refresher-schedule tracking record.” — the specific evidence element Periodic CPR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fills this in whenever a staff member's periodic CPR refresher is completed, at least once in two years. The worked example below shows a real entry: on 10-Jan-2026, staff name was 'Dr. A. Rao (Emergency Medical Officer)', topic / course was 'Advanced Cardiac Life Support (ACLS) refresher'.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CPR skill decays without refreshing — NABH sets at least once every two years as the floor, sooner if protocol changes, with advanced-level refreshers for emergency/ICU/HDU staff.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 (Emergency Medical Officer)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Advanced Cardiac Life Support (ACLS) refresher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External ACLS-certified faculty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