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HRM.9.d — Measures for prevention and handling of workplace violence.</w:t>
      </w:r>
    </w:p>
    <w:p>
      <w:r>
        <w:rPr>
          <w:b/>
          <w:sz w:val="30"/>
        </w:rPr>
        <w:t>HRM.9 Record 7 — Measures for prevention and handling of workplace violence.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“Written security guidance covering workplace-violence prevention and handling.” — the specific evidence element Measures for prevention and handling of workplace violence. of this policy asks for. Every time this happens for real, whoever is responsible adds one new row below with: Version, Date Approved, Approved By, Covers,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Safety Officer fills this in whenever a workplace-violence risk assessment is done, or an actual incident is handled. The worked example below shows a real entry: on 10-Jan-2026, version was 'v1.0', approved by was 'Medical Superintendent / Safety Officer'.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Workplace violence left unaddressed escalates and drives staff attrition — NABH treats prevention and handling of it as CORE. This is a CORE requirement — NABH treats it as non-negotiable, not aspirational.</w:t>
            </w:r>
          </w:p>
        </w:tc>
      </w:tr>
    </w:tbl>
    <w:p/>
    <w:p>
      <w:r>
        <w:rPr>
          <w:b/>
          <w:sz w:val="22"/>
        </w:rPr>
        <w:t>How to fill this in — column by column</w:t>
      </w:r>
    </w:p>
    <w:p>
      <w:pPr>
        <w:pStyle w:val="ListParagraph"/>
      </w:pPr>
      <w:r>
        <w:rPr>
          <w:b/>
        </w:rPr>
        <w:t xml:space="preserve">Version: </w:t>
      </w:r>
      <w:r>
        <w:t>Version number — start at v1.0, increase for each revision.</w:t>
      </w:r>
    </w:p>
    <w:p>
      <w:pPr>
        <w:pStyle w:val="ListParagraph"/>
      </w:pPr>
      <w:r>
        <w:rPr>
          <w:b/>
        </w:rPr>
        <w:t xml:space="preserve">Date Approved: </w:t>
      </w:r>
      <w:r>
        <w:t>The date this version was actually approved.</w:t>
      </w:r>
    </w:p>
    <w:p>
      <w:pPr>
        <w:pStyle w:val="ListParagraph"/>
      </w:pPr>
      <w:r>
        <w:rPr>
          <w:b/>
        </w:rPr>
        <w:t xml:space="preserve">Approved By: </w:t>
      </w:r>
      <w:r>
        <w:t>Who approved it.</w:t>
      </w:r>
    </w:p>
    <w:p>
      <w:pPr>
        <w:pStyle w:val="ListParagraph"/>
      </w:pPr>
      <w:r>
        <w:rPr>
          <w:b/>
        </w:rPr>
        <w:t xml:space="preserve">Covers: </w:t>
      </w:r>
      <w:r>
        <w:t>What this specific version actually covers — the real prevention and handling measures, not just 'workplace violence policy.'</w:t>
      </w:r>
    </w:p>
    <w:p>
      <w:pPr>
        <w:pStyle w:val="ListParagraph"/>
      </w:pPr>
      <w:r>
        <w:rPr>
          <w:b/>
        </w:rPr>
        <w:t xml:space="preserve">Next Review Due: </w:t>
      </w:r>
      <w:r>
        <w:t>The date this document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Covers</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10-Jan-2026</w:t>
            </w:r>
          </w:p>
        </w:tc>
        <w:tc>
          <w:tcPr>
            <w:tcW w:type="dxa" w:w="1936"/>
            <w:shd w:val="clear" w:fill="FFF2CC"/>
          </w:tcPr>
          <w:p>
            <w:r/>
            <w:r>
              <w:rPr>
                <w:b w:val="0"/>
                <w:sz w:val="20"/>
              </w:rPr>
              <w:t>Medical Superintendent / Safety Officer</w:t>
            </w:r>
          </w:p>
        </w:tc>
        <w:tc>
          <w:tcPr>
            <w:tcW w:type="dxa" w:w="1936"/>
            <w:shd w:val="clear" w:fill="FFF2CC"/>
          </w:tcPr>
          <w:p>
            <w:r/>
            <w:r>
              <w:rPr>
                <w:b w:val="0"/>
                <w:sz w:val="20"/>
              </w:rPr>
              <w:t>Prevention measures (panic buttons, CCTV, security posting), reporting route, immediate response steps, and police-liaison and counselling procedure for workplace violence</w:t>
            </w:r>
          </w:p>
        </w:tc>
        <w:tc>
          <w:tcPr>
            <w:tcW w:type="dxa" w:w="1936"/>
            <w:shd w:val="clear" w:fill="FFF2CC"/>
          </w:tcPr>
          <w:p>
            <w:r/>
            <w:r>
              <w:rPr>
                <w:b w:val="0"/>
                <w:sz w:val="20"/>
              </w:rPr>
              <w:t>10-Jan-2027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