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IMS.1.g — External database contribution.</w:t>
      </w:r>
    </w:p>
    <w:p>
      <w:r>
        <w:rPr>
          <w:b/>
          <w:sz w:val="30"/>
        </w:rPr>
        <w:t>IMS.1 Record 14 — External database contribution.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“Identified-notifiable-disease list referencing applicable laws/regulations, and vigilance-programme (HVPI/PVPI/MVPI) contribution records where applicable.” — the specific evidence element External database contribution. of this policy asks for. Every time this happens for real, whoever is responsible adds one new row below with: Programme, Event Reported, Date Reported, Reported To.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or the relevant department logs each submission to an external authority or national vigilance programme on the date it's actually sent. The worked example below shows a real entry: on 09-Jan-2026 Pharmacovigilance Programme of India (PvPI), Suspected adverse drug reaction — patient developed rash after starting new antibiotic, PvPI national coordinating centre (via AMC).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Notifiable diseases, birth and death statistics, and national vigilance programmes (Haemovigilance, Pharmacovigilance, Materiovigilance) exist because a single hospital's data, added to everyone else's, is how a country catches an outbreak or an unsafe drug or device early. A hospital that doesn't actually submit its share breaks that surveillance chain — this record proves the submission genuinely happened, on time, in the right format.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Programme: </w:t>
      </w:r>
      <w:r>
        <w:t>The specific national vigilance programme this contribution is under — HVPI, PVPI or MVPI.</w:t>
      </w:r>
    </w:p>
    <w:p>
      <w:pPr>
        <w:pStyle w:val="ListParagraph"/>
      </w:pPr>
      <w:r>
        <w:rPr>
          <w:b/>
        </w:rPr>
        <w:t xml:space="preserve">Event Reported: </w:t>
      </w:r>
      <w:r>
        <w:t>The actual event reported — be specific, not 'an adverse event.'</w:t>
      </w:r>
    </w:p>
    <w:p>
      <w:pPr>
        <w:pStyle w:val="ListParagraph"/>
      </w:pPr>
      <w:r>
        <w:rPr>
          <w:b/>
        </w:rPr>
        <w:t xml:space="preserve">Date Reported: </w:t>
      </w:r>
      <w:r>
        <w:t>The real date this was reported.</w:t>
      </w:r>
    </w:p>
    <w:p>
      <w:pPr>
        <w:pStyle w:val="ListParagraph"/>
      </w:pPr>
      <w:r>
        <w:rPr>
          <w:b/>
        </w:rPr>
        <w:t xml:space="preserve">Reported To: </w:t>
      </w:r>
      <w:r>
        <w:t>The real body this was reported to.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Programme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Event Reported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Reported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Reported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Pharmacovigilance Programme of India (PvPI)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Suspected adverse drug reaction — patient developed rash after starting new antibiotic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PvPI national coordinating centre (via AMC)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