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IMS.2.a — Standardised data collection.</w:t>
      </w:r>
    </w:p>
    <w:p>
      <w:r>
        <w:rPr>
          <w:b/>
          <w:sz w:val="30"/>
        </w:rPr>
        <w:t>IMS.2 Record 2 — Standardised data collection.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“Sample completed collection forms — physical and/or electronic.” — the specific evidence element Standardised data collection. of this policy asks for. Every time this happens for real, whoever is responsible adds one new row below with: Data Type, Collection Date, Collector, Source Verified (Y/N), Verified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or Quality Coordinator responsible for a given data type logs the defined format and frequency once, and files a sample completed form as evidence it's actually followed. The worked example below shows a real entry: on 10-Jan-2026 Bed occupancy, Ward Clerk, Medicine Ward, Y — cross-checked against nursing handover count.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Data collected on ad-hoc forms, at whatever frequency someone remembers, can't be compared over time or across departments — it's noise, not information. This record proves a defined format and frequency exists for each data type and is actually being followed. NABH checks this as part of how a genuinely reliable, safe medical record system is actually run,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Data Type: </w:t>
      </w:r>
      <w:r>
        <w:t>The specific data type this completed form is for — must match a defined format/frequency record.</w:t>
      </w:r>
    </w:p>
    <w:p>
      <w:pPr>
        <w:pStyle w:val="ListParagraph"/>
      </w:pPr>
      <w:r>
        <w:rPr>
          <w:b/>
        </w:rPr>
        <w:t xml:space="preserve">Collection Date: </w:t>
      </w:r>
      <w:r>
        <w:t>The actual date this specific collection happened — not the defined frequency, the real date.</w:t>
      </w:r>
    </w:p>
    <w:p>
      <w:pPr>
        <w:pStyle w:val="ListParagraph"/>
      </w:pPr>
      <w:r>
        <w:rPr>
          <w:b/>
        </w:rPr>
        <w:t xml:space="preserve">Collector: </w:t>
      </w:r>
      <w:r>
        <w:t>Who actually collected this data point.</w:t>
      </w:r>
    </w:p>
    <w:p>
      <w:pPr>
        <w:pStyle w:val="ListParagraph"/>
      </w:pPr>
      <w:r>
        <w:rPr>
          <w:b/>
        </w:rPr>
        <w:t xml:space="preserve">Source Verified (Y/N): </w:t>
      </w:r>
      <w:r>
        <w:t>Whether the collected figure was actually checked against an independent source — Y or N, don't assume.</w:t>
      </w:r>
    </w:p>
    <w:p>
      <w:pPr>
        <w:pStyle w:val="ListParagraph"/>
      </w:pPr>
      <w:r>
        <w:rPr>
          <w:b/>
        </w:rPr>
        <w:t xml:space="preserve">Verified By: </w:t>
      </w:r>
      <w:r>
        <w:t>Who did that verification.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Collection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Collector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Source Verified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Bed occupancy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Ward Clerk, Medicine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 — cross-checked against nursing handover count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