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IMS.2.e — Staff participation.</w:t>
      </w:r>
    </w:p>
    <w:p>
      <w:r>
        <w:rPr>
          <w:b/>
          <w:sz w:val="30"/>
        </w:rPr>
        <w:t>IMS.2 Record 10 — Staff participation.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“Indicator-selection and trend-measurement record, with action-initiated record where required.” — the specific evidence element Staff participation. of this policy asks for. Every time this happens for real, whoever is responsible adds one new row below with: Date, Indicator Reviewed, Trend Observed, Action Initiated, Owner.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multidisciplinary committee, or the named responsible clinical/managerial staff, logs each indicator reviewed and any action initiated at their periodic meeting. The worked example below shows a real entry: on 10-Jan-2026 Average length of stay — Medicine ward, Rising trend over 3 months, Medical Superintendent — result: Case-review of top 10 longest-stay patients initiated.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Data selection and analysis decided entirely by IT or admin staff, with no clinical or managerial judgment involved, tends to measure what's easy rather than what matters. This record proves the right multidisciplinary people actually chose the indicators, watched the trend, and acted when the trend demanded it.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Date: </w:t>
      </w:r>
      <w:r>
        <w:t>The actual meeting/review date.</w:t>
      </w:r>
    </w:p>
    <w:p>
      <w:pPr>
        <w:pStyle w:val="ListParagraph"/>
      </w:pPr>
      <w:r>
        <w:rPr>
          <w:b/>
        </w:rPr>
        <w:t xml:space="preserve">Indicator Reviewed: </w:t>
      </w:r>
      <w:r>
        <w:t>The specific indicator reviewed.</w:t>
      </w:r>
    </w:p>
    <w:p>
      <w:pPr>
        <w:pStyle w:val="ListParagraph"/>
      </w:pPr>
      <w:r>
        <w:rPr>
          <w:b/>
        </w:rPr>
        <w:t xml:space="preserve">Trend Observed: </w:t>
      </w:r>
      <w:r>
        <w:t>The real trend actually observed.</w:t>
      </w:r>
    </w:p>
    <w:p>
      <w:pPr>
        <w:pStyle w:val="ListParagraph"/>
      </w:pPr>
      <w:r>
        <w:rPr>
          <w:b/>
        </w:rPr>
        <w:t xml:space="preserve">Action Initiated: </w:t>
      </w:r>
      <w:r>
        <w:t>What action was actually initiated.</w:t>
      </w:r>
    </w:p>
    <w:p>
      <w:pPr>
        <w:pStyle w:val="ListParagraph"/>
      </w:pPr>
      <w:r>
        <w:rPr>
          <w:b/>
        </w:rPr>
        <w:t xml:space="preserve">Owner: </w:t>
      </w:r>
      <w:r>
        <w:t>Who owns this action.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Indicator Reviewed</w:t>
            </w:r>
          </w:p>
        </w:tc>
        <w:tc>
          <w:tcPr>
            <w:tcW w:type="dxa" w:w="1936"/>
            <w:shd w:val="clear" w:fill="D9E2F3"/>
          </w:tcPr>
          <w:p>
            <w:r/>
            <w:r>
              <w:rPr>
                <w:b/>
                <w:sz w:val="20"/>
              </w:rPr>
              <w:t>Trend Observed</w:t>
            </w:r>
          </w:p>
        </w:tc>
        <w:tc>
          <w:tcPr>
            <w:tcW w:type="dxa" w:w="1936"/>
            <w:shd w:val="clear" w:fill="D9E2F3"/>
          </w:tcPr>
          <w:p>
            <w:r/>
            <w:r>
              <w:rPr>
                <w:b/>
                <w:sz w:val="20"/>
              </w:rPr>
              <w:t>Action Initiated</w:t>
            </w:r>
          </w:p>
        </w:tc>
        <w:tc>
          <w:tcPr>
            <w:tcW w:type="dxa" w:w="1936"/>
            <w:shd w:val="clear" w:fill="D9E2F3"/>
          </w:tcPr>
          <w:p>
            <w:r/>
            <w:r>
              <w:rPr>
                <w:b/>
                <w:sz w:val="20"/>
              </w:rPr>
              <w:t>Owner</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Average length of stay — Medicine ward</w:t>
            </w:r>
          </w:p>
        </w:tc>
        <w:tc>
          <w:tcPr>
            <w:tcW w:type="dxa" w:w="1936"/>
            <w:shd w:val="clear" w:fill="FFF2CC"/>
          </w:tcPr>
          <w:p>
            <w:r/>
            <w:r>
              <w:rPr>
                <w:b w:val="0"/>
                <w:sz w:val="20"/>
              </w:rPr>
              <w:t>Rising trend over 3 months</w:t>
            </w:r>
          </w:p>
        </w:tc>
        <w:tc>
          <w:tcPr>
            <w:tcW w:type="dxa" w:w="1936"/>
            <w:shd w:val="clear" w:fill="FFF2CC"/>
          </w:tcPr>
          <w:p>
            <w:r/>
            <w:r>
              <w:rPr>
                <w:b w:val="0"/>
                <w:sz w:val="20"/>
              </w:rPr>
              <w:t>Case-review of top 10 longest-stay patients initiated</w:t>
            </w:r>
          </w:p>
        </w:tc>
        <w:tc>
          <w:tcPr>
            <w:tcW w:type="dxa" w:w="1936"/>
            <w:shd w:val="clear" w:fill="FFF2CC"/>
          </w:tcPr>
          <w:p>
            <w:r/>
            <w:r>
              <w:rPr>
                <w:b w:val="0"/>
                <w:sz w:val="20"/>
              </w:rPr>
              <w:t>Medical Superintendent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