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IMS.3.b — Contents defined.</w:t>
      </w:r>
    </w:p>
    <w:p>
      <w:r>
        <w:rPr>
          <w:b/>
          <w:sz w:val="30"/>
        </w:rPr>
        <w:t>IMS.3 Record 3 — Contents defined.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definition of medical record contents, listing each document type.” — the specific evidence element Contents defined. of this policy asks for. Every time this happens for real, whoever is responsible adds one new row below with: Document Type, Format (Physical/Electronic), Mandatory (Y/N), Linked To.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Records Committee approves the written definition of medical record contents, and the Medical Records Officer confirms the physical/electronic linkage for each record. The worked example below shows a real entry: Discharge summary, Electronic, signed,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the hospital hasn't written down exactly which documents make up a complete medical record, staff fill files inconsistently and nobody can tell later whether something is genuinely missing or was simply never required. This record proves the exact list of document types was defined and is actually followed, including how physical and electronic components link up.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Document Type: </w:t>
      </w:r>
      <w:r>
        <w:t>The specific document type that forms part of the medical record — name it.</w:t>
      </w:r>
    </w:p>
    <w:p>
      <w:pPr>
        <w:pStyle w:val="ListParagraph"/>
      </w:pPr>
      <w:r>
        <w:rPr>
          <w:b/>
        </w:rPr>
        <w:t xml:space="preserve">Format (Physical/Electronic): </w:t>
      </w:r>
      <w:r>
        <w:t>The real format this document is held in.</w:t>
      </w:r>
    </w:p>
    <w:p>
      <w:pPr>
        <w:pStyle w:val="ListParagraph"/>
      </w:pPr>
      <w:r>
        <w:rPr>
          <w:b/>
        </w:rPr>
        <w:t xml:space="preserve">Mandatory (Y/N): </w:t>
      </w:r>
      <w:r>
        <w:t>Whether this document is mandatory for every record of this type.</w:t>
      </w:r>
    </w:p>
    <w:p>
      <w:pPr>
        <w:pStyle w:val="ListParagraph"/>
      </w:pPr>
      <w:r>
        <w:rPr>
          <w:b/>
        </w:rPr>
        <w:t xml:space="preserve">Linked To: </w:t>
      </w:r>
      <w:r>
        <w:t>How this document is linked back to the patient's unique identifier.</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Document Type</w:t>
            </w:r>
          </w:p>
        </w:tc>
        <w:tc>
          <w:tcPr>
            <w:tcW w:type="dxa" w:w="2420"/>
            <w:shd w:val="clear" w:fill="D9E2F3"/>
          </w:tcPr>
          <w:p>
            <w:r/>
            <w:r>
              <w:rPr>
                <w:b/>
                <w:sz w:val="20"/>
              </w:rPr>
              <w:t>Format (Physical/Electronic)</w:t>
            </w:r>
          </w:p>
        </w:tc>
        <w:tc>
          <w:tcPr>
            <w:tcW w:type="dxa" w:w="2420"/>
            <w:shd w:val="clear" w:fill="D9E2F3"/>
          </w:tcPr>
          <w:p>
            <w:r/>
            <w:r>
              <w:rPr>
                <w:b/>
                <w:sz w:val="20"/>
              </w:rPr>
              <w:t>Mandatory (Y/N)</w:t>
            </w:r>
          </w:p>
        </w:tc>
        <w:tc>
          <w:tcPr>
            <w:tcW w:type="dxa" w:w="2420"/>
            <w:shd w:val="clear" w:fill="D9E2F3"/>
          </w:tcPr>
          <w:p>
            <w:r/>
            <w:r>
              <w:rPr>
                <w:b/>
                <w:sz w:val="20"/>
              </w:rPr>
              <w:t>Linked To</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Discharge summary</w:t>
            </w:r>
          </w:p>
        </w:tc>
        <w:tc>
          <w:tcPr>
            <w:tcW w:type="dxa" w:w="2420"/>
            <w:shd w:val="clear" w:fill="FFF2CC"/>
          </w:tcPr>
          <w:p>
            <w:r/>
            <w:r>
              <w:rPr>
                <w:b w:val="0"/>
                <w:sz w:val="20"/>
              </w:rPr>
              <w:t>Electronic, signed</w:t>
            </w:r>
          </w:p>
        </w:tc>
        <w:tc>
          <w:tcPr>
            <w:tcW w:type="dxa" w:w="2420"/>
            <w:shd w:val="clear" w:fill="FFF2CC"/>
          </w:tcPr>
          <w:p>
            <w:r/>
            <w:r>
              <w:rPr>
                <w:b w:val="0"/>
                <w:sz w:val="20"/>
              </w:rPr>
              <w:t>Y</w:t>
            </w:r>
          </w:p>
        </w:tc>
        <w:tc>
          <w:tcPr>
            <w:tcW w:type="dxa" w:w="2420"/>
            <w:shd w:val="clear" w:fill="FFF2CC"/>
          </w:tcPr>
          <w:p>
            <w:r/>
            <w:r>
              <w:rPr>
                <w:b w:val="0"/>
                <w:sz w:val="20"/>
              </w:rPr>
              <w:t>Unique identifier / admission record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