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IMS.5.b — Integrity.</w:t>
      </w:r>
    </w:p>
    <w:p>
      <w:r>
        <w:rPr>
          <w:b/>
          <w:sz w:val="30"/>
        </w:rPr>
        <w:t>IMS.5 Record 3 — Integrity.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correction/overwrite guidance document.” — the specific evidence element Integrity. of this policy asks for. Every time this happens for real, whoever is responsible adds one new row below with: Version, Date Approved, Approved By, Covers,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Committee approves the correction/overwrite guidance, and the Medical Records Officer or IT system logs every change made to a record. The worked example below shows a real entry: on 10-Jan-2026 v1.0, Medical Superintendent / Medical Records Committee, Single-line-strike correction method, who may correct an entry (original author only), timing, and countersignature requirement — physical and electronic records.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record where entries can be silently altered or overwritten with no trace is a record nobody can trust — in a clinical handover, an audit, or a legal dispute. This record proves corrections are actually made per the hospital's own written guidance, and that a genuine system exists to track every change made.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start at v1.0, increase for each revision.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pPr>
        <w:pStyle w:val="ListParagraph"/>
      </w:pPr>
      <w:r>
        <w:rPr>
          <w:b/>
        </w:rPr>
        <w:t xml:space="preserve">Covers: </w:t>
      </w:r>
      <w:r>
        <w:t>What this specific version actually covers — the real correction/overwrite method, not just 'correction procedure.'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document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Covers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 / Medical Records Committee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Single-line-strike correction method, who may correct an entry (original author only), timing, and countersignature requirement — physical and electronic records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