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IMS.5.e — Disclosure of privileged information.</w:t>
      </w:r>
    </w:p>
    <w:p>
      <w:r>
        <w:rPr>
          <w:b/>
          <w:sz w:val="30"/>
        </w:rPr>
        <w:t>IMS.5 Record 10 — Disclosure of privileged information.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“Medico-legal/special-situation handling record.” — the specific evidence element Disclosure of privileged information. of this policy asks for. Every time this happens for real, whoever is responsible adds one new row below with: Situation, Record Involved, Handling Basis,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obtains and files written patient authorisation before any disclosure, and escalates medico-legal or special-situation disclosures per written guidance. The worked example below shows a real entry: Medico-legal case — police requisition for records, MR-004521, Handled per written guidance for medico-legal disclosure, not standard patient-authorised route.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Disclosing a patient's health information without their authorisation, or without a specific legal basis, is a confidentiality breach with real legal exposure — medico-legal cases and other special situations need particular care. This record proves every disclosure actually had a documented basis — written patient consent, or the specific handling rule for that special situation.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Situation: </w:t>
      </w:r>
      <w:r>
        <w:t>The specific special situation — name it, don't generalise.</w:t>
      </w:r>
    </w:p>
    <w:p>
      <w:pPr>
        <w:pStyle w:val="ListParagraph"/>
      </w:pPr>
      <w:r>
        <w:rPr>
          <w:b/>
        </w:rPr>
        <w:t xml:space="preserve">Record Involved: </w:t>
      </w:r>
      <w:r>
        <w:t>The actual record involved.</w:t>
      </w:r>
    </w:p>
    <w:p>
      <w:pPr>
        <w:pStyle w:val="ListParagraph"/>
      </w:pPr>
      <w:r>
        <w:rPr>
          <w:b/>
        </w:rPr>
        <w:t xml:space="preserve">Handling Basis: </w:t>
      </w:r>
      <w:r>
        <w:t>The real basis this was handled on — the specific written guidance followed.</w:t>
      </w:r>
    </w:p>
    <w:p>
      <w:pPr>
        <w:pStyle w:val="ListParagraph"/>
      </w:pPr>
      <w:r>
        <w:rPr>
          <w:b/>
        </w:rPr>
        <w:t xml:space="preserve">Approved By: </w:t>
      </w:r>
      <w:r>
        <w:t>Who actually approved handling this disclosure.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 Involved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Handling Basis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Medico-legal case — police requisition for records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Handled per written guidance for medico-legal disclosure, not standard patient-authorised route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