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IMS.6.d — Destruction.</w:t>
      </w:r>
    </w:p>
    <w:p>
      <w:r>
        <w:rPr>
          <w:b/>
          <w:sz w:val="30"/>
        </w:rPr>
        <w:t>IMS.6 Record 6 — Destruction.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“Destruction-approval record from the concerned internal/external authority.” — the specific evidence element Destruction. of this policy asks for. Every time this happens for real, whoever is responsible adds one new row below with: Records Destroyed, Retention Period Confirmed Expired (Y/N), Approved By, Destruction Date, Method.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or the concerned authority approves destruction only after the retention period has genuinely expired, and the Medical Records Officer logs the actual destruction date and method. The worked example below shows a real entry: on 15-Jan-2026 Out-patient records, 2015 cohort, Y,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Records destroyed without proper approval, or destroyed in a way that doesn't meet statutory requirements, can amount to unlawful destruction of evidence. This record proves destruction only happened after the retention period genuinely expired, with real sign-off from the concerned authority, following the applicable statutory procedure.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Records Destroyed: </w:t>
      </w:r>
      <w:r>
        <w:t>What was actually destroyed — the specific cohort/category.</w:t>
      </w:r>
    </w:p>
    <w:p>
      <w:pPr>
        <w:pStyle w:val="ListParagraph"/>
      </w:pPr>
      <w:r>
        <w:rPr>
          <w:b/>
        </w:rPr>
        <w:t xml:space="preserve">Retention Period Confirmed Expired (Y/N): </w:t>
      </w:r>
      <w:r>
        <w:t>Whether the retention period was actually confirmed expired before destruction — required.</w:t>
      </w:r>
    </w:p>
    <w:p>
      <w:pPr>
        <w:pStyle w:val="ListParagraph"/>
      </w:pPr>
      <w:r>
        <w:rPr>
          <w:b/>
        </w:rPr>
        <w:t xml:space="preserve">Approved By: </w:t>
      </w:r>
      <w:r>
        <w:t>Who actually approved the destruction.</w:t>
      </w:r>
    </w:p>
    <w:p>
      <w:pPr>
        <w:pStyle w:val="ListParagraph"/>
      </w:pPr>
      <w:r>
        <w:rPr>
          <w:b/>
        </w:rPr>
        <w:t xml:space="preserve">Destruction Date: </w:t>
      </w:r>
      <w:r>
        <w:t>The real date destruction took place.</w:t>
      </w:r>
    </w:p>
    <w:p>
      <w:pPr>
        <w:pStyle w:val="ListParagraph"/>
      </w:pPr>
      <w:r>
        <w:rPr>
          <w:b/>
        </w:rPr>
        <w:t xml:space="preserve">Method: </w:t>
      </w:r>
      <w:r>
        <w:t>The actual method used, and the statutory provision it follows.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Records Destroyed</w:t>
            </w:r>
          </w:p>
        </w:tc>
        <w:tc>
          <w:tcPr>
            <w:tcW w:type="dxa" w:w="1936"/>
            <w:shd w:val="clear" w:fill="D9E2F3"/>
          </w:tcPr>
          <w:p>
            <w:r/>
            <w:r>
              <w:rPr>
                <w:b/>
                <w:sz w:val="20"/>
              </w:rPr>
              <w:t>Retention Period Confirmed Expired (Y/N)</w:t>
            </w:r>
          </w:p>
        </w:tc>
        <w:tc>
          <w:tcPr>
            <w:tcW w:type="dxa" w:w="1936"/>
            <w:shd w:val="clear" w:fill="D9E2F3"/>
          </w:tcPr>
          <w:p>
            <w:r/>
            <w:r>
              <w:rPr>
                <w:b/>
                <w:sz w:val="20"/>
              </w:rPr>
              <w:t>Approved By</w:t>
            </w:r>
          </w:p>
        </w:tc>
        <w:tc>
          <w:tcPr>
            <w:tcW w:type="dxa" w:w="1936"/>
            <w:shd w:val="clear" w:fill="D9E2F3"/>
          </w:tcPr>
          <w:p>
            <w:r/>
            <w:r>
              <w:rPr>
                <w:b/>
                <w:sz w:val="20"/>
              </w:rPr>
              <w:t>Destruction Date</w:t>
            </w:r>
          </w:p>
        </w:tc>
        <w:tc>
          <w:tcPr>
            <w:tcW w:type="dxa" w:w="1936"/>
            <w:shd w:val="clear" w:fill="D9E2F3"/>
          </w:tcPr>
          <w:p>
            <w:r/>
            <w:r>
              <w:rPr>
                <w:b/>
                <w:sz w:val="20"/>
              </w:rPr>
              <w:t>Method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Out-patient records, 2015 cohort</w:t>
            </w:r>
          </w:p>
        </w:tc>
        <w:tc>
          <w:tcPr>
            <w:tcW w:type="dxa" w:w="1936"/>
            <w:shd w:val="clear" w:fill="FFF2CC"/>
          </w:tcPr>
          <w:p>
            <w:r/>
            <w:r>
              <w:rPr>
                <w:b w:val="0"/>
                <w:sz w:val="20"/>
              </w:rPr>
              <w:t>Y</w:t>
            </w:r>
          </w:p>
        </w:tc>
        <w:tc>
          <w:tcPr>
            <w:tcW w:type="dxa" w:w="1936"/>
            <w:shd w:val="clear" w:fill="FFF2CC"/>
          </w:tcPr>
          <w:p>
            <w:r/>
            <w:r>
              <w:rPr>
                <w:b w:val="0"/>
                <w:sz w:val="20"/>
              </w:rPr>
              <w:t>Medical Superintendent</w:t>
            </w:r>
          </w:p>
        </w:tc>
        <w:tc>
          <w:tcPr>
            <w:tcW w:type="dxa" w:w="1936"/>
            <w:shd w:val="clear" w:fill="FFF2CC"/>
          </w:tcPr>
          <w:p>
            <w:r/>
            <w:r>
              <w:rPr>
                <w:b w:val="0"/>
                <w:sz w:val="20"/>
              </w:rPr>
              <w:t>15-Jan-2026</w:t>
            </w:r>
          </w:p>
        </w:tc>
        <w:tc>
          <w:tcPr>
            <w:tcW w:type="dxa" w:w="1936"/>
            <w:shd w:val="clear" w:fill="FFF2CC"/>
          </w:tcPr>
          <w:p>
            <w:r/>
            <w:r>
              <w:rPr>
                <w:b w:val="0"/>
                <w:sz w:val="20"/>
              </w:rPr>
              <w:t>Secure shredding per statutory provision</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