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the Complete and Accurate Medical Record</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every patient cared for has a complete and accurate medical record, uniquely identified, chronologically maintained, and entered only by authorised staff.</w:t>
      </w:r>
    </w:p>
    <w:p>
      <w:pPr>
        <w:pStyle w:val="Heading1"/>
        <w:spacing w:after="120" w:before="240"/>
      </w:pPr>
      <w:r>
        <w:t xml:space="preserve">1. Purpose</w:t>
      </w:r>
    </w:p>
    <w:p>
      <w:pPr>
        <w:spacing w:after="160"/>
      </w:pPr>
      <w:r>
        <w:t xml:space="preserve">This policy sets out how «Hospital Name» assigns a unique identifier to the medical record, identifies and documents its contents, keeps it complete and chronological, restricts entries to authorised staff, ensures entries are signed/dated/timed, keeps the author of each entry identifiable, and uses only authorised abbreviations.</w:t>
      </w:r>
    </w:p>
    <w:p>
      <w:pPr>
        <w:spacing w:after="160"/>
      </w:pPr>
      <w:r>
        <w:t>This policy does not cover continuity-of-care content of the record, confidentiality and security of records, or document retention — those are covered in other hospital policies.</w:t>
      </w:r>
    </w:p>
    <w:p>
      <w:pPr>
        <w:pStyle w:val="Heading1"/>
        <w:spacing w:after="120" w:before="240"/>
      </w:pPr>
      <w:r>
        <w:t xml:space="preserve">2. Scope</w:t>
      </w:r>
    </w:p>
    <w:p>
      <w:pPr>
        <w:spacing w:after="160"/>
      </w:pPr>
      <w:r>
        <w:t xml:space="preserve">This policy applies to the medical record of every patient cared for at «Hospital Name», whether maintained physically, electronically, or as a mix of both.</w:t>
      </w:r>
    </w:p>
    <w:p>
      <w:pPr>
        <w:pStyle w:val="Heading1"/>
        <w:spacing w:after="120" w:before="240"/>
      </w:pPr>
      <w:r>
        <w:t xml:space="preserve">3. Policy standards</w:t>
      </w:r>
    </w:p>
    <w:p>
      <w:pPr>
        <w:spacing w:after="160"/>
      </w:pPr>
      <w:r>
        <w:t xml:space="preserve">«Hospital Name» assigns a unique identifier to every medical record.</w:t>
      </w:r>
    </w:p>
    <w:p>
      <w:pPr>
        <w:spacing w:after="160"/>
      </w:pPr>
      <w:r>
        <w:t xml:space="preserve">«Hospital Name» identifies and documents the contents of the medical record.</w:t>
      </w:r>
    </w:p>
    <w:p>
      <w:pPr>
        <w:spacing w:after="160"/>
      </w:pPr>
      <w:r>
        <w:t xml:space="preserve">«Hospital Name» ensures the medical record provides a complete, up-to-date and chronological account of patient care.</w:t>
      </w:r>
    </w:p>
    <w:p>
      <w:pPr>
        <w:spacing w:after="160"/>
      </w:pPr>
      <w:r>
        <w:t xml:space="preserve">«Hospital Name» ensures only authorised staff make entries in the medical record.</w:t>
      </w:r>
    </w:p>
    <w:p>
      <w:pPr>
        <w:spacing w:after="160"/>
      </w:pPr>
      <w:r>
        <w:t xml:space="preserve">«Hospital Name» ensures every entry in the medical record is signed, dated and timed.</w:t>
      </w:r>
    </w:p>
    <w:p>
      <w:pPr>
        <w:spacing w:after="160"/>
      </w:pPr>
      <w:r>
        <w:t xml:space="preserve">«Hospital Name» ensures the author of every entry can be identified.</w:t>
      </w:r>
    </w:p>
    <w:p>
      <w:pPr>
        <w:spacing w:after="160"/>
      </w:pPr>
      <w:r>
        <w:t xml:space="preserve">«Hospital Name» ensures the medical record has only authorised abbreviations.</w:t>
      </w:r>
    </w:p>
    <w:p>
      <w:pPr>
        <w:pStyle w:val="Heading1"/>
        <w:spacing w:after="120" w:before="240"/>
      </w:pPr>
      <w:r>
        <w:t xml:space="preserve">4. Non-negotiable rules</w:t>
      </w:r>
    </w:p>
    <w:p>
      <w:pPr>
        <w:pStyle w:val="ListParagraph"/>
        <w:numPr>
          <w:ilvl w:val="0"/>
          <w:numId w:val="2"/>
        </w:numPr>
        <w:spacing w:after="120"/>
      </w:pPr>
      <w:r>
        <w:t xml:space="preserve">Do not maintain a medical record without a unique identifier, on every sheet including digital media, traceable to that identifier.</w:t>
      </w:r>
    </w:p>
    <w:p>
      <w:pPr>
        <w:pStyle w:val="ListParagraph"/>
        <w:numPr>
          <w:ilvl w:val="0"/>
          <w:numId w:val="2"/>
        </w:numPr>
        <w:spacing w:after="120"/>
      </w:pPr>
      <w:r>
        <w:t xml:space="preserve">Do not leave the contents of the medical record undefined — the documents that make up the record must be identified and adhered to.</w:t>
      </w:r>
    </w:p>
    <w:p>
      <w:pPr>
        <w:pStyle w:val="ListParagraph"/>
        <w:numPr>
          <w:ilvl w:val="0"/>
          <w:numId w:val="2"/>
        </w:numPr>
        <w:spacing w:after="120"/>
      </w:pPr>
      <w:r>
        <w:t xml:space="preserve">Do not file a medical record out of chronological or sequential order, or leave a missing sheet without a note to that effect.</w:t>
      </w:r>
    </w:p>
    <w:p>
      <w:pPr>
        <w:pStyle w:val="ListParagraph"/>
        <w:numPr>
          <w:ilvl w:val="0"/>
          <w:numId w:val="2"/>
        </w:numPr>
        <w:spacing w:after="120"/>
      </w:pPr>
      <w:r>
        <w:t xml:space="preserve">Do not let a staff member make an entry in the medical record without written authorisation defining who may enter what.</w:t>
      </w:r>
    </w:p>
    <w:p>
      <w:pPr>
        <w:pStyle w:val="ListParagraph"/>
        <w:numPr>
          <w:ilvl w:val="0"/>
          <w:numId w:val="2"/>
        </w:numPr>
        <w:spacing w:after="120"/>
      </w:pPr>
      <w:r>
        <w:t xml:space="preserve">Do not leave an entry undocumented within one hour of completing the assessment or procedure, or unsigned, undated or untimed.</w:t>
      </w:r>
    </w:p>
    <w:p>
      <w:pPr>
        <w:pStyle w:val="ListParagraph"/>
        <w:numPr>
          <w:ilvl w:val="0"/>
          <w:numId w:val="2"/>
        </w:numPr>
        <w:spacing w:after="120"/>
      </w:pPr>
      <w:r>
        <w:t xml:space="preserve">Do not leave the author of an entry untraceable — a name, employee code, stamp, or authorised e-signature must identify who made it.</w:t>
      </w:r>
    </w:p>
    <w:p>
      <w:pPr>
        <w:pStyle w:val="ListParagraph"/>
        <w:numPr>
          <w:ilvl w:val="0"/>
          <w:numId w:val="2"/>
        </w:numPr>
        <w:spacing w:after="120"/>
      </w:pPr>
      <w:r>
        <w:t xml:space="preserve">Do not use an abbreviation in the medical record that is not on the organisation's standardised, approved list — and never an error-prone abbreviation for medications.</w:t>
      </w:r>
    </w:p>
    <w:p>
      <w:pPr>
        <w:pStyle w:val="ListParagraph"/>
        <w:numPr>
          <w:ilvl w:val="0"/>
          <w:numId w:val="2"/>
        </w:numPr>
        <w:spacing w:after="120"/>
      </w:pPr>
      <w:r>
        <w:t xml:space="preserve">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Unique identifier</w:t>
      </w:r>
    </w:p>
    <w:p>
      <w:pPr>
        <w:spacing w:after="160"/>
      </w:pPr>
      <w:r>
        <w:t xml:space="preserve">Every medical record at «Hospital Name» has a unique identifier number. Every sheet in the medical record carries this identifier, including records on digital media. For electronic records, all entries for one unique identifier are available in one place and/or traceable to that number. Unique identification of the medical record is covered in other hospital policies as it relates to patient registration.</w:t>
      </w:r>
    </w:p>
    <w:p>
      <w:pPr>
        <w:pStyle w:val="Heading2"/>
        <w:spacing w:after="100" w:before="160"/>
      </w:pPr>
      <w:r>
        <w:t xml:space="preserve">5.2 Contents of the medical record</w:t>
      </w:r>
    </w:p>
    <w:p>
      <w:pPr>
        <w:spacing w:after="160"/>
      </w:pPr>
      <w:r>
        <w:t xml:space="preserve">«Hospital Name» defines the documents that form part of the medical record and adheres to that definition — for example admission orders, face sheet, IP sheet, referrals, transfer records, lab results, imaging results, discharge summary, doctor's order sheet, TPR chart, consent form, nursing assessment, nursing care plans, dietary assessments and plans, and physiotherapy assessments. Contents may be hand-written, typed, printed or electronic, or a mix, with appropriate linkages maintained between formats. Where electronic medical records are used, «Hospital Name» defines which documents are maintained in physical format.</w:t>
      </w:r>
    </w:p>
    <w:p>
      <w:pPr>
        <w:pStyle w:val="Heading2"/>
        <w:spacing w:after="100" w:before="160"/>
      </w:pPr>
      <w:r>
        <w:t xml:space="preserve">5.3 Complete, chronological record</w:t>
      </w:r>
    </w:p>
    <w:p>
      <w:pPr>
        <w:spacing w:after="160"/>
      </w:pPr>
      <w:r>
        <w:t xml:space="preserve">The medical record at «Hospital Name» has all identified sheets filed in sequential order, with entries in each component filed in chronological order. All medico-legal case records contain the mandatory information required. Where a sheet is missing, a note to that effect is placed in the medical record. Pages in the medical record are preferably numbered.</w:t>
      </w:r>
    </w:p>
    <w:p>
      <w:pPr>
        <w:pStyle w:val="Heading2"/>
        <w:spacing w:after="100" w:before="160"/>
      </w:pPr>
      <w:r>
        <w:t xml:space="preserve">5.4 Authorised entries</w:t>
      </w:r>
    </w:p>
    <w:p>
      <w:pPr>
        <w:spacing w:after="160"/>
      </w:pPr>
      <w:r>
        <w:t xml:space="preserve">«Hospital Name» has written guidance authorising who can make entries in the medical record and what content each authorised category may enter — for example medication orders by doctors, the medication administration chart by nurses, and nutritional assessment by dieticians. This authorisation is uniform across the organisation, even where different staff categories are authorised for different entry types.</w:t>
      </w:r>
    </w:p>
    <w:p>
      <w:pPr>
        <w:pStyle w:val="Heading2"/>
        <w:spacing w:after="100" w:before="160"/>
      </w:pPr>
      <w:r>
        <w:t xml:space="preserve">5.5 Timing of entries</w:t>
      </w:r>
    </w:p>
    <w:p>
      <w:pPr>
        <w:spacing w:after="160"/>
      </w:pPr>
      <w:r>
        <w:t xml:space="preserve">Entries in the medical record at «Hospital Name» are documented immediately, and no later than one hour after completion of the assessment or procedure. For records on electronic media, the date and time are preferably generated automatically by the system.</w:t>
      </w:r>
    </w:p>
    <w:p>
      <w:pPr>
        <w:pStyle w:val="Heading2"/>
        <w:spacing w:after="100" w:before="160"/>
      </w:pPr>
      <w:r>
        <w:t xml:space="preserve">5.6 Identifying the author</w:t>
      </w:r>
    </w:p>
    <w:p>
      <w:pPr>
        <w:spacing w:after="160"/>
      </w:pPr>
      <w:r>
        <w:t xml:space="preserve">The author of every entry in the medical record at «Hospital Name» is identifiable — by full name, employee code number, a stamp, or an authorised e-signature as per statutory requirements for electronic records. Traceability is achieved either by writing the name against every entry, by a master signature list held in the medical record, or by an employee code number against every entry, consistent with the authorisation record described in Section 5.4.</w:t>
      </w:r>
    </w:p>
    <w:p>
      <w:pPr>
        <w:pStyle w:val="Heading2"/>
        <w:spacing w:after="100" w:before="160"/>
      </w:pPr>
      <w:r>
        <w:t xml:space="preserve">5.7 Authorised abbreviations</w:t>
      </w:r>
    </w:p>
    <w:p>
      <w:pPr>
        <w:spacing w:after="160"/>
      </w:pPr>
      <w:r>
        <w:t xml:space="preserve">Where abbreviations are used in the medical record at «Hospital Name», a standardised list of approved abbreviations is used throughout the organisation. Error-prone abbreviations are not used for medications.</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unique-identifier system, contents definition, and abbreviation list.</w:t>
            </w:r>
          </w:p>
        </w:tc>
      </w:tr>
      <w:tr>
        <w:tc>
          <w:tcPr>
            <w:tcW w:type="pct" w:w="35%"/>
            <w:vAlign w:val="center"/>
          </w:tcPr>
          <w:p>
            <w:r>
              <w:rPr>
                <w:b w:val="false"/>
                <w:bCs w:val="false"/>
              </w:rPr>
              <w:t xml:space="preserve">Treating Doctors / Nurses / Allied Staff</w:t>
            </w:r>
          </w:p>
        </w:tc>
        <w:tc>
          <w:tcPr>
            <w:tcW w:type="pct" w:w="65%"/>
            <w:vAlign w:val="center"/>
          </w:tcPr>
          <w:p>
            <w:r>
              <w:rPr>
                <w:b w:val="false"/>
                <w:bCs w:val="false"/>
              </w:rPr>
              <w:t xml:space="preserve">Make entries strictly within their authorised category, signed, dated and timed.</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Use only authorised abbreviations. Report identified risks and rule breaches.</w:t>
            </w:r>
          </w:p>
        </w:tc>
      </w:tr>
    </w:tbl>
    <w:p>
      <w:pPr>
        <w:pStyle w:val="Heading1"/>
        <w:spacing w:after="120" w:before="240"/>
      </w:pPr>
      <w:r>
        <w:t xml:space="preserve">7. Quality monitoring</w:t>
      </w:r>
    </w:p>
    <w:p>
      <w:pPr>
        <w:spacing w:after="160"/>
      </w:pPr>
      <w:r>
        <w:t>The Medical Records In-Charge reviews sampled medical records for unique identifier presence, chronological completeness, authorised entries, timely signing, author identifiability, and abbreviation compliance. Documentary evidence is on file for each CORE objective element and each asterisked objective element (marked CORE and * respectively in the Level column of Section 12, Traceability table). This policy is reviewed annually, or sooner if NABH standards change.</w:t>
      </w:r>
    </w:p>
    <w:p>
      <w:pPr>
        <w:pStyle w:val="Heading1"/>
        <w:spacing w:after="120" w:before="240"/>
      </w:pPr>
      <w:r>
        <w:t xml:space="preserve">8. Training and staff acknowledgement</w:t>
      </w:r>
    </w:p>
    <w:p>
      <w:pPr>
        <w:spacing w:after="160"/>
      </w:pPr>
      <w:r>
        <w:t xml:space="preserve">All staff who make entries in the medical record are trained on authorised entry categories, timing requirements, and the approved abbreviation list, and sign the acknowledgement below.</w:t>
      </w:r>
    </w:p>
    <w:p>
      <w:pPr>
        <w:spacing w:after="160"/>
      </w:pPr>
      <w:r>
        <w:t xml:space="preserve">Acknowledgement statement:</w:t>
      </w:r>
    </w:p>
    <w:p>
      <w:pPr>
        <w:spacing w:after="160"/>
      </w:pPr>
      <w:r>
        <w:t xml:space="preserve">"I have read the Policy on the Complete and Accurate Medical Record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IMS.3</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IMS.3.a</w:t>
            </w:r>
          </w:p>
        </w:tc>
        <w:tc>
          <w:tcPr>
            <w:vAlign w:val="center"/>
            <w:tcW w:type="dxa" w:w="1280"/>
          </w:tcPr>
          <w:p>
            <w:r>
              <w:t>CORE</w:t>
            </w:r>
          </w:p>
        </w:tc>
        <w:tc>
          <w:tcPr>
            <w:vAlign w:val="center"/>
            <w:tcW w:type="dxa" w:w="3480"/>
          </w:tcPr>
          <w:p>
            <w:r>
              <w:t>Unique identifier assigned to the medical record</w:t>
            </w:r>
          </w:p>
        </w:tc>
        <w:tc>
          <w:tcPr>
            <w:vAlign w:val="center"/>
            <w:tcW w:type="dxa" w:w="1380"/>
          </w:tcPr>
          <w:p>
            <w:r>
              <w:rPr>
                <w:b w:val="false"/>
                <w:bCs w:val="false"/>
              </w:rPr>
              <w:t xml:space="preserve">Section 5.1</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IMS.3.b</w:t>
            </w:r>
          </w:p>
        </w:tc>
        <w:tc>
          <w:tcPr>
            <w:vAlign w:val="center"/>
            <w:tcW w:type="dxa" w:w="1280"/>
          </w:tcPr>
          <w:p>
            <w:r>
              <w:t>Commitment*</w:t>
            </w:r>
          </w:p>
        </w:tc>
        <w:tc>
          <w:tcPr>
            <w:vAlign w:val="center"/>
            <w:tcW w:type="dxa" w:w="3480"/>
          </w:tcPr>
          <w:p>
            <w:r>
              <w:t>Contents of the medical record identified/documented</w:t>
            </w:r>
          </w:p>
        </w:tc>
        <w:tc>
          <w:tcPr>
            <w:vAlign w:val="center"/>
            <w:tcW w:type="dxa" w:w="1380"/>
          </w:tcPr>
          <w:p>
            <w:r>
              <w:rPr>
                <w:b w:val="false"/>
                <w:bCs w:val="false"/>
              </w:rPr>
              <w:t xml:space="preserve">Section 5.2</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IMS.3.c</w:t>
            </w:r>
          </w:p>
        </w:tc>
        <w:tc>
          <w:tcPr>
            <w:vAlign w:val="center"/>
            <w:tcW w:type="dxa" w:w="1280"/>
          </w:tcPr>
          <w:p>
            <w:r>
              <w:t>CORE</w:t>
            </w:r>
          </w:p>
        </w:tc>
        <w:tc>
          <w:tcPr>
            <w:vAlign w:val="center"/>
            <w:tcW w:type="dxa" w:w="3480"/>
          </w:tcPr>
          <w:p>
            <w:r>
              <w:t>Complete, up-to-date, chronological record</w:t>
            </w:r>
          </w:p>
        </w:tc>
        <w:tc>
          <w:tcPr>
            <w:vAlign w:val="center"/>
            <w:tcW w:type="dxa" w:w="1380"/>
          </w:tcPr>
          <w:p>
            <w:r>
              <w:rPr>
                <w:b w:val="false"/>
                <w:bCs w:val="false"/>
              </w:rPr>
              <w:t xml:space="preserve">Section 5.3</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IMS.3.d</w:t>
            </w:r>
          </w:p>
        </w:tc>
        <w:tc>
          <w:tcPr>
            <w:vAlign w:val="center"/>
            <w:tcW w:type="dxa" w:w="1280"/>
          </w:tcPr>
          <w:p>
            <w:r>
              <w:t>Commitment*</w:t>
            </w:r>
          </w:p>
        </w:tc>
        <w:tc>
          <w:tcPr>
            <w:vAlign w:val="center"/>
            <w:tcW w:type="dxa" w:w="3480"/>
          </w:tcPr>
          <w:p>
            <w:r>
              <w:t>Authorised staff make entries</w:t>
            </w:r>
          </w:p>
        </w:tc>
        <w:tc>
          <w:tcPr>
            <w:vAlign w:val="center"/>
            <w:tcW w:type="dxa" w:w="1380"/>
          </w:tcPr>
          <w:p>
            <w:r>
              <w:rPr>
                <w:b w:val="false"/>
                <w:bCs w:val="false"/>
              </w:rPr>
              <w:t xml:space="preserve">Section 5.4</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IMS.3.e</w:t>
            </w:r>
          </w:p>
        </w:tc>
        <w:tc>
          <w:tcPr>
            <w:vAlign w:val="center"/>
            <w:tcW w:type="dxa" w:w="1280"/>
          </w:tcPr>
          <w:p>
            <w:r>
              <w:t>Commitment</w:t>
            </w:r>
          </w:p>
        </w:tc>
        <w:tc>
          <w:tcPr>
            <w:vAlign w:val="center"/>
            <w:tcW w:type="dxa" w:w="3480"/>
          </w:tcPr>
          <w:p>
            <w:r>
              <w:t>Entries signed, dated and timed</w:t>
            </w:r>
          </w:p>
        </w:tc>
        <w:tc>
          <w:tcPr>
            <w:vAlign w:val="center"/>
            <w:tcW w:type="dxa" w:w="1380"/>
          </w:tcPr>
          <w:p>
            <w:r>
              <w:rPr>
                <w:b w:val="false"/>
                <w:bCs w:val="false"/>
              </w:rPr>
              <w:t xml:space="preserve">Section 5.5</w:t>
            </w:r>
          </w:p>
        </w:tc>
        <w:tc>
          <w:tcPr>
            <w:vAlign w:val="center"/>
            <w:tcW w:type="dxa" w:w="1540"/>
          </w:tcPr>
          <w:p>
            <w:r>
              <w:rPr>
                <w:b w:val="false"/>
                <w:bCs w:val="false"/>
              </w:rPr>
              <w:t xml:space="preserve">Treating Doctors / Nurses / Allied Staff</w:t>
            </w:r>
          </w:p>
        </w:tc>
      </w:tr>
      <w:tr>
        <w:tc>
          <w:tcPr>
            <w:vAlign w:val="center"/>
            <w:tcW w:type="dxa" w:w="1280"/>
          </w:tcPr>
          <w:p>
            <w:r>
              <w:rPr>
                <w:b w:val="false"/>
                <w:bCs w:val="false"/>
              </w:rPr>
              <w:t xml:space="preserve">IMS.3.f</w:t>
            </w:r>
          </w:p>
        </w:tc>
        <w:tc>
          <w:tcPr>
            <w:vAlign w:val="center"/>
            <w:tcW w:type="dxa" w:w="1280"/>
          </w:tcPr>
          <w:p>
            <w:r>
              <w:t>Commitment</w:t>
            </w:r>
          </w:p>
        </w:tc>
        <w:tc>
          <w:tcPr>
            <w:vAlign w:val="center"/>
            <w:tcW w:type="dxa" w:w="3480"/>
          </w:tcPr>
          <w:p>
            <w:r>
              <w:t>Author of the entry can be identified</w:t>
            </w:r>
          </w:p>
        </w:tc>
        <w:tc>
          <w:tcPr>
            <w:vAlign w:val="center"/>
            <w:tcW w:type="dxa" w:w="1380"/>
          </w:tcPr>
          <w:p>
            <w:r>
              <w:rPr>
                <w:b w:val="false"/>
                <w:bCs w:val="false"/>
              </w:rPr>
              <w:t xml:space="preserve">Section 5.6 (see also Section 5.4)</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IMS.3.g</w:t>
            </w:r>
          </w:p>
        </w:tc>
        <w:tc>
          <w:tcPr>
            <w:vAlign w:val="center"/>
            <w:tcW w:type="dxa" w:w="1280"/>
          </w:tcPr>
          <w:p>
            <w:r>
              <w:t>Commitment</w:t>
            </w:r>
          </w:p>
        </w:tc>
        <w:tc>
          <w:tcPr>
            <w:vAlign w:val="center"/>
            <w:tcW w:type="dxa" w:w="3480"/>
          </w:tcPr>
          <w:p>
            <w:r>
              <w:t>Only authorised abbreviations used</w:t>
            </w:r>
          </w:p>
        </w:tc>
        <w:tc>
          <w:tcPr>
            <w:vAlign w:val="center"/>
            <w:tcW w:type="dxa" w:w="1380"/>
          </w:tcPr>
          <w:p>
            <w:r>
              <w:rPr>
                <w:b w:val="false"/>
                <w:bCs w:val="false"/>
              </w:rPr>
              <w:t xml:space="preserve">Section 5.7</w:t>
            </w:r>
          </w:p>
        </w:tc>
        <w:tc>
          <w:tcPr>
            <w:vAlign w:val="center"/>
            <w:tcW w:type="dxa" w:w="1540"/>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IMS.3.a — Unique identifier.</w:t>
      </w:r>
    </w:p>
    <w:p>
      <w:pPr>
        <w:pStyle w:val="ListParagraph"/>
        <w:numPr>
          <w:ilvl w:val="0"/>
          <w:numId w:val="1"/>
        </w:numPr>
        <w:spacing w:after="100"/>
      </w:pPr>
      <w:r>
        <w:t xml:space="preserve">Unique-identifier assignment record for each patient's medical record.</w:t>
      </w:r>
    </w:p>
    <w:p>
      <w:pPr>
        <w:pStyle w:val="ListParagraph"/>
        <w:numPr>
          <w:ilvl w:val="0"/>
          <w:numId w:val="1"/>
        </w:numPr>
        <w:spacing w:after="100"/>
      </w:pPr>
      <w:r>
        <w:t xml:space="preserve">Traceability record confirming all entries for one identifier are locatable/linked.</w:t>
      </w:r>
    </w:p>
    <w:p>
      <w:pPr>
        <w:pStyle w:val="Heading2"/>
        <w:spacing w:after="100" w:before="160"/>
      </w:pPr>
      <w:r>
        <w:t xml:space="preserve">IMS.3.b — Contents defined.</w:t>
      </w:r>
    </w:p>
    <w:p>
      <w:pPr>
        <w:pStyle w:val="ListParagraph"/>
        <w:numPr>
          <w:ilvl w:val="0"/>
          <w:numId w:val="1"/>
        </w:numPr>
        <w:spacing w:after="100"/>
      </w:pPr>
      <w:r>
        <w:t xml:space="preserve">Written definition of medical record contents, listing each document type.</w:t>
      </w:r>
    </w:p>
    <w:p>
      <w:pPr>
        <w:pStyle w:val="ListParagraph"/>
        <w:numPr>
          <w:ilvl w:val="0"/>
          <w:numId w:val="1"/>
        </w:numPr>
        <w:spacing w:after="100"/>
      </w:pPr>
      <w:r>
        <w:t xml:space="preserve">Format-mix linkage record where physical and electronic components co-exist.</w:t>
      </w:r>
    </w:p>
    <w:p>
      <w:pPr>
        <w:pStyle w:val="Heading2"/>
        <w:spacing w:after="100" w:before="160"/>
      </w:pPr>
      <w:r>
        <w:t xml:space="preserve">IMS.3.c — Complete, chronological record.</w:t>
      </w:r>
    </w:p>
    <w:p>
      <w:pPr>
        <w:pStyle w:val="ListParagraph"/>
        <w:numPr>
          <w:ilvl w:val="0"/>
          <w:numId w:val="1"/>
        </w:numPr>
        <w:spacing w:after="100"/>
      </w:pPr>
      <w:r>
        <w:t xml:space="preserve">Sequential/chronological filing audit record for sampled files.</w:t>
      </w:r>
    </w:p>
    <w:p>
      <w:pPr>
        <w:pStyle w:val="ListParagraph"/>
        <w:numPr>
          <w:ilvl w:val="0"/>
          <w:numId w:val="1"/>
        </w:numPr>
        <w:spacing w:after="100"/>
      </w:pPr>
      <w:r>
        <w:t xml:space="preserve">Missing-sheet note record and medico-legal case mandatory-information check record.</w:t>
      </w:r>
    </w:p>
    <w:p>
      <w:pPr>
        <w:pStyle w:val="Heading2"/>
        <w:spacing w:after="100" w:before="160"/>
      </w:pPr>
      <w:r>
        <w:t xml:space="preserve">IMS.3.d — Authorised entries.</w:t>
      </w:r>
    </w:p>
    <w:p>
      <w:pPr>
        <w:pStyle w:val="ListParagraph"/>
        <w:numPr>
          <w:ilvl w:val="0"/>
          <w:numId w:val="1"/>
        </w:numPr>
        <w:spacing w:after="100"/>
      </w:pPr>
      <w:r>
        <w:t xml:space="preserve">Written authorisation record naming which staff category may enter which content.</w:t>
      </w:r>
    </w:p>
    <w:p>
      <w:pPr>
        <w:pStyle w:val="ListParagraph"/>
        <w:numPr>
          <w:ilvl w:val="0"/>
          <w:numId w:val="1"/>
        </w:numPr>
        <w:spacing w:after="100"/>
      </w:pPr>
      <w:r>
        <w:t xml:space="preserve">Sampled-entry audit record confirming entries match the authorised category.</w:t>
      </w:r>
    </w:p>
    <w:p>
      <w:pPr>
        <w:pStyle w:val="Heading2"/>
        <w:spacing w:after="100" w:before="160"/>
      </w:pPr>
      <w:r>
        <w:t xml:space="preserve">IMS.3.e — Timing of entries.</w:t>
      </w:r>
    </w:p>
    <w:p>
      <w:pPr>
        <w:pStyle w:val="ListParagraph"/>
        <w:numPr>
          <w:ilvl w:val="0"/>
          <w:numId w:val="1"/>
        </w:numPr>
        <w:spacing w:after="100"/>
      </w:pPr>
      <w:r>
        <w:t xml:space="preserve">Sampled-entry timing audit record confirming documentation within one hour of the assessment or procedure.</w:t>
      </w:r>
    </w:p>
    <w:p>
      <w:pPr>
        <w:pStyle w:val="ListParagraph"/>
        <w:numPr>
          <w:ilvl w:val="0"/>
          <w:numId w:val="1"/>
        </w:numPr>
        <w:spacing w:after="100"/>
      </w:pPr>
      <w:r>
        <w:t xml:space="preserve">System-generated timestamp record for electronic entries, where applicable.</w:t>
      </w:r>
    </w:p>
    <w:p>
      <w:pPr>
        <w:pStyle w:val="Heading2"/>
        <w:spacing w:after="100" w:before="160"/>
      </w:pPr>
      <w:r>
        <w:t xml:space="preserve">IMS.3.f — Author identifiable.</w:t>
      </w:r>
    </w:p>
    <w:p>
      <w:pPr>
        <w:pStyle w:val="ListParagraph"/>
        <w:numPr>
          <w:ilvl w:val="0"/>
          <w:numId w:val="1"/>
        </w:numPr>
        <w:spacing w:after="100"/>
      </w:pPr>
      <w:r>
        <w:t xml:space="preserve">Master signature list, or employee-code/name traceability record, held in the medical record.</w:t>
      </w:r>
    </w:p>
    <w:p>
      <w:pPr>
        <w:pStyle w:val="ListParagraph"/>
        <w:numPr>
          <w:ilvl w:val="0"/>
          <w:numId w:val="1"/>
        </w:numPr>
        <w:spacing w:after="100"/>
      </w:pPr>
      <w:r>
        <w:t xml:space="preserve">E-signature authorisation record for electronic entries, per statutory requirements.</w:t>
      </w:r>
    </w:p>
    <w:p>
      <w:pPr>
        <w:pStyle w:val="Heading2"/>
        <w:spacing w:after="100" w:before="160"/>
      </w:pPr>
      <w:r>
        <w:t xml:space="preserve">IMS.3.g — Authorised abbreviations.</w:t>
      </w:r>
    </w:p>
    <w:p>
      <w:pPr>
        <w:pStyle w:val="ListParagraph"/>
        <w:numPr>
          <w:ilvl w:val="0"/>
          <w:numId w:val="1"/>
        </w:numPr>
        <w:spacing w:after="100"/>
      </w:pPr>
      <w:r>
        <w:t xml:space="preserve">Standardised, approved abbreviations list, organisation-wide.</w:t>
      </w:r>
    </w:p>
    <w:p>
      <w:pPr>
        <w:pStyle w:val="ListParagraph"/>
        <w:numPr>
          <w:ilvl w:val="0"/>
          <w:numId w:val="1"/>
        </w:numPr>
        <w:spacing w:after="100"/>
      </w:pPr>
      <w:r>
        <w:t xml:space="preserve">Error-prone-abbreviation exclusion record for medication entries.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IMS.3, "The patients cared for by the organisation have a complete and accurate medical record."</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2026-09-05T10:12:02.793Z</dcterms:created>
  <dcterms:modified xsi:type="dcterms:W3CDTF">2026-09-05T10:12:02.793Z</dcterms:modified>
</cp:coreProperties>
</file>

<file path=docProps/custom.xml><?xml version="1.0" encoding="utf-8"?>
<Properties xmlns="http://schemas.openxmlformats.org/officeDocument/2006/custom-properties" xmlns:vt="http://schemas.openxmlformats.org/officeDocument/2006/docPropsVTypes"/>
</file>