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Review of Medical Records</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Medical Records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carries out a periodic review of medical records, so gaps are found, documented and corrected before they compromise patient care.</w:t>
      </w:r>
    </w:p>
    <w:p>
      <w:pPr>
        <w:pStyle w:val="Heading1"/>
        <w:spacing w:after="120" w:before="240"/>
      </w:pPr>
      <w:r>
        <w:t xml:space="preserve">1. Purpose</w:t>
      </w:r>
    </w:p>
    <w:p>
      <w:pPr>
        <w:spacing w:after="160"/>
      </w:pPr>
      <w:r>
        <w:t xml:space="preserve">This policy sets out how «Hospital Name» reviews medical records periodically, using a representative sample, conducted by identified individuals, based on identified parameters, covering both active and discharged patients, documenting deficiencies found, and acting on them.</w:t>
      </w:r>
    </w:p>
    <w:p>
      <w:pPr>
        <w:spacing w:after="160"/>
      </w:pPr>
      <w:r>
        <w:t>This policy does not cover medical record content, document control, or confidentiality and security of records — those are covered in other hospital policies.</w:t>
      </w:r>
    </w:p>
    <w:p>
      <w:pPr>
        <w:pStyle w:val="Heading1"/>
        <w:spacing w:after="120" w:before="240"/>
      </w:pPr>
      <w:r>
        <w:t xml:space="preserve">2. Scope</w:t>
      </w:r>
    </w:p>
    <w:p>
      <w:pPr>
        <w:spacing w:after="160"/>
      </w:pPr>
      <w:r>
        <w:t xml:space="preserve">This policy applies to the periodic review of physical and/or electronic medical records at «Hospital Name», covering both active and discharged patients.</w:t>
      </w:r>
    </w:p>
    <w:p>
      <w:pPr>
        <w:pStyle w:val="Heading1"/>
        <w:spacing w:after="120" w:before="240"/>
      </w:pPr>
      <w:r>
        <w:t xml:space="preserve">3. Policy standards</w:t>
      </w:r>
    </w:p>
    <w:p>
      <w:pPr>
        <w:spacing w:after="160"/>
      </w:pPr>
      <w:r>
        <w:t xml:space="preserve">The medical records at «Hospital Name» are reviewed periodically.</w:t>
      </w:r>
    </w:p>
    <w:p>
      <w:pPr>
        <w:spacing w:after="160"/>
      </w:pPr>
      <w:r>
        <w:t xml:space="preserve">The review uses a representative sample based on statistical principles.</w:t>
      </w:r>
    </w:p>
    <w:p>
      <w:pPr>
        <w:spacing w:after="160"/>
      </w:pPr>
      <w:r>
        <w:t xml:space="preserve">The review is conducted by identified individuals.</w:t>
      </w:r>
    </w:p>
    <w:p>
      <w:pPr>
        <w:spacing w:after="160"/>
      </w:pPr>
      <w:r>
        <w:t xml:space="preserve">The review of records is based on identified parameters.</w:t>
      </w:r>
    </w:p>
    <w:p>
      <w:pPr>
        <w:spacing w:after="160"/>
      </w:pPr>
      <w:r>
        <w:t xml:space="preserve">The review process includes records of both active and discharged patients.</w:t>
      </w:r>
    </w:p>
    <w:p>
      <w:pPr>
        <w:spacing w:after="160"/>
      </w:pPr>
      <w:r>
        <w:t xml:space="preserve">The review points out and documents any deficiencies in records.</w:t>
      </w:r>
    </w:p>
    <w:p>
      <w:pPr>
        <w:spacing w:after="160"/>
      </w:pPr>
      <w:r>
        <w:t xml:space="preserve">Appropriate corrective and preventive measures are undertaken.</w:t>
      </w:r>
    </w:p>
    <w:p>
      <w:pPr>
        <w:pStyle w:val="Heading1"/>
        <w:spacing w:after="120" w:before="240"/>
      </w:pPr>
      <w:r>
        <w:t xml:space="preserve">4. Non-negotiable rules</w:t>
      </w:r>
    </w:p>
    <w:p>
      <w:pPr>
        <w:pStyle w:val="ListParagraph"/>
        <w:numPr>
          <w:ilvl w:val="0"/>
          <w:numId w:val="2"/>
        </w:numPr>
        <w:spacing w:after="120"/>
      </w:pPr>
      <w:r>
        <w:t xml:space="preserve">Do not leave medical records unreviewed — the organisation must define and follow a periodicity for review.</w:t>
      </w:r>
    </w:p>
    <w:p>
      <w:pPr>
        <w:pStyle w:val="ListParagraph"/>
        <w:numPr>
          <w:ilvl w:val="0"/>
          <w:numId w:val="2"/>
        </w:numPr>
        <w:spacing w:after="120"/>
      </w:pPr>
      <w:r>
        <w:t xml:space="preserve">Do not draw a review sample outside a defined statistical sampling principle — for example simple random or systematic random sampling — based on total discharges (including deaths) and total in-patients.</w:t>
      </w:r>
    </w:p>
    <w:p>
      <w:pPr>
        <w:pStyle w:val="ListParagraph"/>
        <w:numPr>
          <w:ilvl w:val="0"/>
          <w:numId w:val="2"/>
        </w:numPr>
        <w:spacing w:after="120"/>
      </w:pPr>
      <w:r>
        <w:t xml:space="preserve">Do not let anyone conduct a medical record review without being identified and authorised for it by the organisation.</w:t>
      </w:r>
    </w:p>
    <w:p>
      <w:pPr>
        <w:pStyle w:val="ListParagraph"/>
        <w:numPr>
          <w:ilvl w:val="0"/>
          <w:numId w:val="2"/>
        </w:numPr>
        <w:spacing w:after="120"/>
      </w:pPr>
      <w:r>
        <w:t xml:space="preserve">Do not review records without identified parameters — at a minimum, timeliness, legibility and completeness must be covered.</w:t>
      </w:r>
    </w:p>
    <w:p>
      <w:pPr>
        <w:pStyle w:val="ListParagraph"/>
        <w:numPr>
          <w:ilvl w:val="0"/>
          <w:numId w:val="2"/>
        </w:numPr>
        <w:spacing w:after="120"/>
      </w:pPr>
      <w:r>
        <w:t xml:space="preserve">Do not limit the review to only active or only discharged patients — an adequate mix of both must be used.</w:t>
      </w:r>
    </w:p>
    <w:p>
      <w:pPr>
        <w:pStyle w:val="ListParagraph"/>
        <w:numPr>
          <w:ilvl w:val="0"/>
          <w:numId w:val="2"/>
        </w:numPr>
        <w:spacing w:after="120"/>
      </w:pPr>
      <w:r>
        <w:t xml:space="preserve">Do not leave a deficiency found during review undocumented.</w:t>
      </w:r>
    </w:p>
    <w:p>
      <w:pPr>
        <w:pStyle w:val="ListParagraph"/>
        <w:numPr>
          <w:ilvl w:val="0"/>
          <w:numId w:val="2"/>
        </w:numPr>
        <w:spacing w:after="120"/>
      </w:pPr>
      <w:r>
        <w:t xml:space="preserve">Do not leave a documented deficiency without a corrective action carried out in a defined time, or without disseminating the resulting preventive action to relevant staff.</w:t>
      </w:r>
    </w:p>
    <w:p>
      <w:pPr>
        <w:pStyle w:val="ListParagraph"/>
        <w:numPr>
          <w:ilvl w:val="0"/>
          <w:numId w:val="2"/>
        </w:numPr>
        <w:spacing w:after="120"/>
      </w:pPr>
      <w:r>
        <w:t xml:space="preserve">Staff who see a rule under this policy broken report it the same shift to the Medical Records In-Charge or the Medical Superintendent.</w:t>
      </w:r>
    </w:p>
    <w:p>
      <w:pPr>
        <w:pStyle w:val="Heading1"/>
        <w:spacing w:after="120" w:before="240"/>
      </w:pPr>
      <w:r>
        <w:t xml:space="preserve">5. What we do</w:t>
      </w:r>
    </w:p>
    <w:p>
      <w:pPr>
        <w:pStyle w:val="Heading2"/>
        <w:spacing w:after="100" w:before="160"/>
      </w:pPr>
      <w:r>
        <w:t xml:space="preserve">5.1 Periodic review</w:t>
      </w:r>
    </w:p>
    <w:p>
      <w:pPr>
        <w:spacing w:after="160"/>
      </w:pPr>
      <w:r>
        <w:t xml:space="preserve">«Hospital Name» defines the periodicity of medical record review. A checklist may be used for this purpose. The review is carried out for physical and/or electronic medical records.</w:t>
      </w:r>
    </w:p>
    <w:p>
      <w:pPr>
        <w:pStyle w:val="Heading2"/>
        <w:spacing w:after="100" w:before="160"/>
      </w:pPr>
      <w:r>
        <w:t xml:space="preserve">5.2 Representative sampling</w:t>
      </w:r>
    </w:p>
    <w:p>
      <w:pPr>
        <w:spacing w:after="160"/>
      </w:pPr>
      <w:r>
        <w:t xml:space="preserve">«Hospital Name» defines the principles on which its review sample is based — for example simple random or systematic random sampling. The review is based on total discharges, including deaths, and total in-patients.</w:t>
      </w:r>
    </w:p>
    <w:p>
      <w:pPr>
        <w:pStyle w:val="Heading2"/>
        <w:spacing w:after="100" w:before="160"/>
      </w:pPr>
      <w:r>
        <w:t xml:space="preserve">5.3 Identified reviewers</w:t>
      </w:r>
    </w:p>
    <w:p>
      <w:pPr>
        <w:spacing w:after="160"/>
      </w:pPr>
      <w:r>
        <w:t xml:space="preserve">«Hospital Name» identifies and authorises the individuals who conduct the medical record review.</w:t>
      </w:r>
    </w:p>
    <w:p>
      <w:pPr>
        <w:pStyle w:val="Heading2"/>
        <w:spacing w:after="100" w:before="160"/>
      </w:pPr>
      <w:r>
        <w:t xml:space="preserve">5.4 Review parameters</w:t>
      </w:r>
    </w:p>
    <w:p>
      <w:pPr>
        <w:spacing w:after="160"/>
      </w:pPr>
      <w:r>
        <w:t xml:space="preserve">At a minimum, the review at «Hospital Name» covers timeliness, legibility and completeness of the medical records. Other parameters that may be included are the completeness of consent forms and the availability of operation or procedure notes. A checklist may be used for this purpose. The review points out and documents deficiencies — for example a final diagnosis not mentioned, incomplete operation theatre notes in an operated patient, incomplete consents, or a missing signature, name, date or time for an entry.</w:t>
      </w:r>
    </w:p>
    <w:p>
      <w:pPr>
        <w:pStyle w:val="Heading2"/>
        <w:spacing w:after="100" w:before="160"/>
      </w:pPr>
      <w:r>
        <w:t xml:space="preserve">5.5 Active and discharged patients</w:t>
      </w:r>
    </w:p>
    <w:p>
      <w:pPr>
        <w:spacing w:after="160"/>
      </w:pPr>
      <w:r>
        <w:t xml:space="preserve">The review process at «Hospital Name» includes an adequate mix of records of both active and discharged patients.</w:t>
      </w:r>
    </w:p>
    <w:p>
      <w:pPr>
        <w:pStyle w:val="Heading2"/>
        <w:spacing w:after="100" w:before="160"/>
      </w:pPr>
      <w:r>
        <w:t xml:space="preserve">5.6 Documenting deficiencies</w:t>
      </w:r>
    </w:p>
    <w:p>
      <w:pPr>
        <w:spacing w:after="160"/>
      </w:pPr>
      <w:r>
        <w:t xml:space="preserve">«Hospital Name» points out and documents any deficiencies found during the review — for example a missing final diagnosis or absence of operation theatre notes in an operated patient.</w:t>
      </w:r>
    </w:p>
    <w:p>
      <w:pPr>
        <w:pStyle w:val="Heading2"/>
        <w:spacing w:after="100" w:before="160"/>
      </w:pPr>
      <w:r>
        <w:t xml:space="preserve">5.7 Corrective and preventive action</w:t>
      </w:r>
    </w:p>
    <w:p>
      <w:pPr>
        <w:spacing w:after="160"/>
      </w:pPr>
      <w:r>
        <w:t xml:space="preserve">Based on documented deficiencies, «Hospital Name» carries out appropriate corrections within a defined time, and documents them. Preventive actions arising from the review are disseminated to the relevant staff.</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Medical Records In-Charge</w:t>
            </w:r>
          </w:p>
        </w:tc>
        <w:tc>
          <w:tcPr>
            <w:tcW w:type="pct" w:w="65%"/>
            <w:vAlign w:val="center"/>
          </w:tcPr>
          <w:p>
            <w:r>
              <w:rPr>
                <w:b w:val="false"/>
                <w:bCs w:val="false"/>
              </w:rPr>
              <w:t xml:space="preserve">Owns this policy. Coordinates the review schedule, sampling, and CAPA tracking.</w:t>
            </w:r>
          </w:p>
        </w:tc>
      </w:tr>
      <w:tr>
        <w:tc>
          <w:tcPr>
            <w:tcW w:type="pct" w:w="35%"/>
            <w:vAlign w:val="center"/>
          </w:tcPr>
          <w:p>
            <w:r>
              <w:rPr>
                <w:b w:val="false"/>
                <w:bCs w:val="false"/>
              </w:rPr>
              <w:t xml:space="preserve">Identified Reviewers</w:t>
            </w:r>
          </w:p>
        </w:tc>
        <w:tc>
          <w:tcPr>
            <w:tcW w:type="pct" w:w="65%"/>
            <w:vAlign w:val="center"/>
          </w:tcPr>
          <w:p>
            <w:r>
              <w:rPr>
                <w:b w:val="false"/>
                <w:bCs w:val="false"/>
              </w:rPr>
              <w:t xml:space="preserve">Conduct the medical record review against defined parameters.</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Receives escalations under Section 4.</w:t>
            </w:r>
          </w:p>
        </w:tc>
      </w:tr>
      <w:tr>
        <w:tc>
          <w:tcPr>
            <w:tcW w:type="pct" w:w="35%"/>
            <w:vAlign w:val="center"/>
          </w:tcPr>
          <w:p>
            <w:r>
              <w:rPr>
                <w:b w:val="false"/>
                <w:bCs w:val="false"/>
              </w:rPr>
              <w:t xml:space="preserve">All Staff</w:t>
            </w:r>
          </w:p>
        </w:tc>
        <w:tc>
          <w:tcPr>
            <w:tcW w:type="pct" w:w="65%"/>
            <w:vAlign w:val="center"/>
          </w:tcPr>
          <w:p>
            <w:r>
              <w:rPr>
                <w:b w:val="false"/>
                <w:bCs w:val="false"/>
              </w:rPr>
              <w:t xml:space="preserve">Correct identified deficiencies in their entries. Report identified risks and rule breaches.</w:t>
            </w:r>
          </w:p>
        </w:tc>
      </w:tr>
    </w:tbl>
    <w:p>
      <w:pPr>
        <w:pStyle w:val="Heading1"/>
        <w:spacing w:after="120" w:before="240"/>
      </w:pPr>
      <w:r>
        <w:t xml:space="preserve">7. Quality monitoring</w:t>
      </w:r>
    </w:p>
    <w:p>
      <w:pPr>
        <w:spacing w:after="160"/>
      </w:pPr>
      <w:r>
        <w:t>The Medical Records In-Charge reviews the review programme itself — sample adequacy, reviewer authorisation, and CAPA closure — and reports findings to the Medical Superintendent. This policy is reviewed annually, or sooner if NABH standards change.</w:t>
      </w:r>
    </w:p>
    <w:p>
      <w:pPr>
        <w:pStyle w:val="Heading1"/>
        <w:spacing w:after="120" w:before="240"/>
      </w:pPr>
      <w:r>
        <w:t xml:space="preserve">8. Training and staff acknowledgement</w:t>
      </w:r>
    </w:p>
    <w:p>
      <w:pPr>
        <w:spacing w:after="160"/>
      </w:pPr>
      <w:r>
        <w:t xml:space="preserve">Identified reviewers and relevant staff are trained on the review parameters and the corrective/preventive action process described in Section 5, and sign the acknowledgement below.</w:t>
      </w:r>
    </w:p>
    <w:p>
      <w:pPr>
        <w:spacing w:after="160"/>
      </w:pPr>
      <w:r>
        <w:t xml:space="preserve">Acknowledgement statement:</w:t>
      </w:r>
    </w:p>
    <w:p>
      <w:pPr>
        <w:spacing w:after="160"/>
      </w:pPr>
      <w:r>
        <w:t xml:space="preserve">"I have read the Policy on Review of Medical Records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Medical Records department, all clinical department heads,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IMS.7</w:t>
      </w:r>
    </w:p>
    <w:p>
      <w:pPr>
        <w:spacing w:after="160"/>
      </w:pPr>
      <w:r>
        <w:t xml:space="preserve">This table is an index. It is not how the process is organised. An asterisk in the Level column means documentation of the process is required.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80"/>
        <w:gridCol w:w="1280"/>
        <w:gridCol w:w="3480"/>
        <w:gridCol w:w="1380"/>
        <w:gridCol w:w="1540"/>
      </w:tblGrid>
      <w:tr>
        <w:tc>
          <w:tcPr>
            <w:shd w:fill="D9E2F3" w:val="clear"/>
            <w:vAlign w:val="center"/>
            <w:tcW w:type="dxa" w:w="1280"/>
          </w:tcPr>
          <w:p>
            <w:r>
              <w:rPr>
                <w:b/>
              </w:rPr>
              <w:t>OE</w:t>
            </w:r>
          </w:p>
        </w:tc>
        <w:tc>
          <w:tcPr>
            <w:shd w:fill="D9E2F3" w:val="clear"/>
            <w:vAlign w:val="center"/>
            <w:tcW w:type="dxa" w:w="1280"/>
          </w:tcPr>
          <w:p>
            <w:r>
              <w:rPr>
                <w:b/>
              </w:rPr>
              <w:t>Level</w:t>
            </w:r>
          </w:p>
        </w:tc>
        <w:tc>
          <w:tcPr>
            <w:shd w:fill="D9E2F3" w:val="clear"/>
            <w:vAlign w:val="center"/>
            <w:tcW w:type="dxa" w:w="3480"/>
          </w:tcPr>
          <w:p>
            <w:r>
              <w:rPr>
                <w:b/>
              </w:rPr>
              <w:t>Requirement</w:t>
            </w:r>
          </w:p>
        </w:tc>
        <w:tc>
          <w:tcPr>
            <w:shd w:fill="D9E2F3" w:val="clear"/>
            <w:vAlign w:val="center"/>
            <w:tcW w:type="dxa" w:w="1380"/>
          </w:tcPr>
          <w:p>
            <w:r>
              <w:rPr>
                <w:b/>
              </w:rPr>
              <w:t>Where addressed</w:t>
            </w:r>
          </w:p>
        </w:tc>
        <w:tc>
          <w:tcPr>
            <w:shd w:fill="D9E2F3" w:val="clear"/>
            <w:vAlign w:val="center"/>
            <w:tcW w:type="dxa" w:w="1540"/>
          </w:tcPr>
          <w:p>
            <w:r>
              <w:rPr>
                <w:b/>
              </w:rPr>
              <w:t>Responsible</w:t>
            </w:r>
          </w:p>
        </w:tc>
      </w:tr>
      <w:tr>
        <w:tc>
          <w:tcPr>
            <w:vAlign w:val="center"/>
            <w:tcW w:type="dxa" w:w="1280"/>
          </w:tcPr>
          <w:p>
            <w:r>
              <w:rPr>
                <w:b w:val="false"/>
                <w:bCs w:val="false"/>
              </w:rPr>
              <w:t xml:space="preserve">IMS.7.a</w:t>
            </w:r>
          </w:p>
        </w:tc>
        <w:tc>
          <w:tcPr>
            <w:vAlign w:val="center"/>
            <w:tcW w:type="dxa" w:w="1280"/>
          </w:tcPr>
          <w:p>
            <w:r>
              <w:t>CORE</w:t>
            </w:r>
          </w:p>
        </w:tc>
        <w:tc>
          <w:tcPr>
            <w:vAlign w:val="center"/>
            <w:tcW w:type="dxa" w:w="3480"/>
          </w:tcPr>
          <w:p>
            <w:r>
              <w:t>Medical records reviewed periodically</w:t>
            </w:r>
          </w:p>
        </w:tc>
        <w:tc>
          <w:tcPr>
            <w:vAlign w:val="center"/>
            <w:tcW w:type="dxa" w:w="1380"/>
          </w:tcPr>
          <w:p>
            <w:r>
              <w:rPr>
                <w:b w:val="false"/>
                <w:bCs w:val="false"/>
              </w:rPr>
              <w:t xml:space="preserve">Section 5.1</w:t>
            </w:r>
          </w:p>
        </w:tc>
        <w:tc>
          <w:tcPr>
            <w:vAlign w:val="center"/>
            <w:tcW w:type="dxa" w:w="1540"/>
          </w:tcPr>
          <w:p>
            <w:r>
              <w:rPr>
                <w:b w:val="false"/>
                <w:bCs w:val="false"/>
              </w:rPr>
              <w:t xml:space="preserve">Medical Records In-Charge</w:t>
            </w:r>
          </w:p>
        </w:tc>
      </w:tr>
      <w:tr>
        <w:tc>
          <w:tcPr>
            <w:vAlign w:val="center"/>
            <w:tcW w:type="dxa" w:w="1280"/>
          </w:tcPr>
          <w:p>
            <w:r>
              <w:rPr>
                <w:b w:val="false"/>
                <w:bCs w:val="false"/>
              </w:rPr>
              <w:t xml:space="preserve">IMS.7.b</w:t>
            </w:r>
          </w:p>
        </w:tc>
        <w:tc>
          <w:tcPr>
            <w:vAlign w:val="center"/>
            <w:tcW w:type="dxa" w:w="1280"/>
          </w:tcPr>
          <w:p>
            <w:r>
              <w:t>Commitment</w:t>
            </w:r>
          </w:p>
        </w:tc>
        <w:tc>
          <w:tcPr>
            <w:vAlign w:val="center"/>
            <w:tcW w:type="dxa" w:w="3480"/>
          </w:tcPr>
          <w:p>
            <w:r>
              <w:t>Review uses representative sample</w:t>
            </w:r>
          </w:p>
        </w:tc>
        <w:tc>
          <w:tcPr>
            <w:vAlign w:val="center"/>
            <w:tcW w:type="dxa" w:w="1380"/>
          </w:tcPr>
          <w:p>
            <w:r>
              <w:rPr>
                <w:b w:val="false"/>
                <w:bCs w:val="false"/>
              </w:rPr>
              <w:t xml:space="preserve">Section 5.2</w:t>
            </w:r>
          </w:p>
        </w:tc>
        <w:tc>
          <w:tcPr>
            <w:vAlign w:val="center"/>
            <w:tcW w:type="dxa" w:w="1540"/>
          </w:tcPr>
          <w:p>
            <w:r>
              <w:rPr>
                <w:b w:val="false"/>
                <w:bCs w:val="false"/>
              </w:rPr>
              <w:t xml:space="preserve">Medical Records In-Charge</w:t>
            </w:r>
          </w:p>
        </w:tc>
      </w:tr>
      <w:tr>
        <w:tc>
          <w:tcPr>
            <w:vAlign w:val="center"/>
            <w:tcW w:type="dxa" w:w="1280"/>
          </w:tcPr>
          <w:p>
            <w:r>
              <w:rPr>
                <w:b w:val="false"/>
                <w:bCs w:val="false"/>
              </w:rPr>
              <w:t xml:space="preserve">IMS.7.c</w:t>
            </w:r>
          </w:p>
        </w:tc>
        <w:tc>
          <w:tcPr>
            <w:vAlign w:val="center"/>
            <w:tcW w:type="dxa" w:w="1280"/>
          </w:tcPr>
          <w:p>
            <w:r>
              <w:t>Commitment</w:t>
            </w:r>
          </w:p>
        </w:tc>
        <w:tc>
          <w:tcPr>
            <w:vAlign w:val="center"/>
            <w:tcW w:type="dxa" w:w="3480"/>
          </w:tcPr>
          <w:p>
            <w:r>
              <w:t>Review conducted by identified individuals</w:t>
            </w:r>
          </w:p>
        </w:tc>
        <w:tc>
          <w:tcPr>
            <w:vAlign w:val="center"/>
            <w:tcW w:type="dxa" w:w="1380"/>
          </w:tcPr>
          <w:p>
            <w:r>
              <w:rPr>
                <w:b w:val="false"/>
                <w:bCs w:val="false"/>
              </w:rPr>
              <w:t xml:space="preserve">Section 5.3</w:t>
            </w:r>
          </w:p>
        </w:tc>
        <w:tc>
          <w:tcPr>
            <w:vAlign w:val="center"/>
            <w:tcW w:type="dxa" w:w="1540"/>
          </w:tcPr>
          <w:p>
            <w:r>
              <w:rPr>
                <w:b w:val="false"/>
                <w:bCs w:val="false"/>
              </w:rPr>
              <w:t xml:space="preserve">Identified Reviewers</w:t>
            </w:r>
          </w:p>
        </w:tc>
      </w:tr>
      <w:tr>
        <w:tc>
          <w:tcPr>
            <w:vAlign w:val="center"/>
            <w:tcW w:type="dxa" w:w="1280"/>
          </w:tcPr>
          <w:p>
            <w:r>
              <w:rPr>
                <w:b w:val="false"/>
                <w:bCs w:val="false"/>
              </w:rPr>
              <w:t xml:space="preserve">IMS.7.d</w:t>
            </w:r>
          </w:p>
        </w:tc>
        <w:tc>
          <w:tcPr>
            <w:vAlign w:val="center"/>
            <w:tcW w:type="dxa" w:w="1280"/>
          </w:tcPr>
          <w:p>
            <w:r>
              <w:t>Commitment</w:t>
            </w:r>
          </w:p>
        </w:tc>
        <w:tc>
          <w:tcPr>
            <w:vAlign w:val="center"/>
            <w:tcW w:type="dxa" w:w="3480"/>
          </w:tcPr>
          <w:p>
            <w:r>
              <w:t>Review based on identified parameters</w:t>
            </w:r>
          </w:p>
        </w:tc>
        <w:tc>
          <w:tcPr>
            <w:vAlign w:val="center"/>
            <w:tcW w:type="dxa" w:w="1380"/>
          </w:tcPr>
          <w:p>
            <w:r>
              <w:rPr>
                <w:b w:val="false"/>
                <w:bCs w:val="false"/>
              </w:rPr>
              <w:t xml:space="preserve">Section 5.4</w:t>
            </w:r>
          </w:p>
        </w:tc>
        <w:tc>
          <w:tcPr>
            <w:vAlign w:val="center"/>
            <w:tcW w:type="dxa" w:w="1540"/>
          </w:tcPr>
          <w:p>
            <w:r>
              <w:rPr>
                <w:b w:val="false"/>
                <w:bCs w:val="false"/>
              </w:rPr>
              <w:t xml:space="preserve">Identified Reviewers</w:t>
            </w:r>
          </w:p>
        </w:tc>
      </w:tr>
      <w:tr>
        <w:tc>
          <w:tcPr>
            <w:vAlign w:val="center"/>
            <w:tcW w:type="dxa" w:w="1280"/>
          </w:tcPr>
          <w:p>
            <w:r>
              <w:rPr>
                <w:b w:val="false"/>
                <w:bCs w:val="false"/>
              </w:rPr>
              <w:t xml:space="preserve">IMS.7.e</w:t>
            </w:r>
          </w:p>
        </w:tc>
        <w:tc>
          <w:tcPr>
            <w:vAlign w:val="center"/>
            <w:tcW w:type="dxa" w:w="1280"/>
          </w:tcPr>
          <w:p>
            <w:r>
              <w:t>Commitment</w:t>
            </w:r>
          </w:p>
        </w:tc>
        <w:tc>
          <w:tcPr>
            <w:vAlign w:val="center"/>
            <w:tcW w:type="dxa" w:w="3480"/>
          </w:tcPr>
          <w:p>
            <w:r>
              <w:t>Review includes active and discharged patients</w:t>
            </w:r>
          </w:p>
        </w:tc>
        <w:tc>
          <w:tcPr>
            <w:vAlign w:val="center"/>
            <w:tcW w:type="dxa" w:w="1380"/>
          </w:tcPr>
          <w:p>
            <w:r>
              <w:rPr>
                <w:b w:val="false"/>
                <w:bCs w:val="false"/>
              </w:rPr>
              <w:t xml:space="preserve">Section 5.5</w:t>
            </w:r>
          </w:p>
        </w:tc>
        <w:tc>
          <w:tcPr>
            <w:vAlign w:val="center"/>
            <w:tcW w:type="dxa" w:w="1540"/>
          </w:tcPr>
          <w:p>
            <w:r>
              <w:rPr>
                <w:b w:val="false"/>
                <w:bCs w:val="false"/>
              </w:rPr>
              <w:t xml:space="preserve">Identified Reviewers</w:t>
            </w:r>
          </w:p>
        </w:tc>
      </w:tr>
      <w:tr>
        <w:tc>
          <w:tcPr>
            <w:vAlign w:val="center"/>
            <w:tcW w:type="dxa" w:w="1280"/>
          </w:tcPr>
          <w:p>
            <w:r>
              <w:rPr>
                <w:b w:val="false"/>
                <w:bCs w:val="false"/>
              </w:rPr>
              <w:t xml:space="preserve">IMS.7.f</w:t>
            </w:r>
          </w:p>
        </w:tc>
        <w:tc>
          <w:tcPr>
            <w:vAlign w:val="center"/>
            <w:tcW w:type="dxa" w:w="1280"/>
          </w:tcPr>
          <w:p>
            <w:r>
              <w:t>Commitment</w:t>
            </w:r>
          </w:p>
        </w:tc>
        <w:tc>
          <w:tcPr>
            <w:vAlign w:val="center"/>
            <w:tcW w:type="dxa" w:w="3480"/>
          </w:tcPr>
          <w:p>
            <w:r>
              <w:t>Review documents deficiencies</w:t>
            </w:r>
          </w:p>
        </w:tc>
        <w:tc>
          <w:tcPr>
            <w:vAlign w:val="center"/>
            <w:tcW w:type="dxa" w:w="1380"/>
          </w:tcPr>
          <w:p>
            <w:r>
              <w:rPr>
                <w:b w:val="false"/>
                <w:bCs w:val="false"/>
              </w:rPr>
              <w:t xml:space="preserve">Section 5.6</w:t>
            </w:r>
          </w:p>
        </w:tc>
        <w:tc>
          <w:tcPr>
            <w:vAlign w:val="center"/>
            <w:tcW w:type="dxa" w:w="1540"/>
          </w:tcPr>
          <w:p>
            <w:r>
              <w:rPr>
                <w:b w:val="false"/>
                <w:bCs w:val="false"/>
              </w:rPr>
              <w:t xml:space="preserve">Identified Reviewers</w:t>
            </w:r>
          </w:p>
        </w:tc>
      </w:tr>
      <w:tr>
        <w:tc>
          <w:tcPr>
            <w:vAlign w:val="center"/>
            <w:tcW w:type="dxa" w:w="1280"/>
          </w:tcPr>
          <w:p>
            <w:r>
              <w:rPr>
                <w:b w:val="false"/>
                <w:bCs w:val="false"/>
              </w:rPr>
              <w:t xml:space="preserve">IMS.7.g</w:t>
            </w:r>
          </w:p>
        </w:tc>
        <w:tc>
          <w:tcPr>
            <w:vAlign w:val="center"/>
            <w:tcW w:type="dxa" w:w="1280"/>
          </w:tcPr>
          <w:p>
            <w:r>
              <w:t>Commitment</w:t>
            </w:r>
          </w:p>
        </w:tc>
        <w:tc>
          <w:tcPr>
            <w:vAlign w:val="center"/>
            <w:tcW w:type="dxa" w:w="3480"/>
          </w:tcPr>
          <w:p>
            <w:r>
              <w:t>Corrective/preventive measures undertaken</w:t>
            </w:r>
          </w:p>
        </w:tc>
        <w:tc>
          <w:tcPr>
            <w:vAlign w:val="center"/>
            <w:tcW w:type="dxa" w:w="1380"/>
          </w:tcPr>
          <w:p>
            <w:r>
              <w:rPr>
                <w:b w:val="false"/>
                <w:bCs w:val="false"/>
              </w:rPr>
              <w:t xml:space="preserve">Section 5.7</w:t>
            </w:r>
          </w:p>
        </w:tc>
        <w:tc>
          <w:tcPr>
            <w:vAlign w:val="center"/>
            <w:tcW w:type="dxa" w:w="1540"/>
          </w:tcPr>
          <w:p>
            <w:r>
              <w:rPr>
                <w:b w:val="false"/>
                <w:bCs w:val="false"/>
              </w:rPr>
              <w:t xml:space="preserve">Medical Records In-Charge</w:t>
            </w:r>
          </w:p>
        </w:tc>
      </w:tr>
    </w:tbl>
    <w:p>
      <w:pPr>
        <w:pStyle w:val="Heading1"/>
        <w:spacing w:after="120" w:before="240"/>
      </w:pPr>
      <w:r>
        <w:t xml:space="preserve">12. Required Records / Evidence Checklist</w:t>
      </w:r>
    </w:p>
    <w:p>
      <w:pPr>
        <w:pStyle w:val="Heading2"/>
        <w:spacing w:after="100" w:before="160"/>
      </w:pPr>
      <w:r>
        <w:t xml:space="preserve">IMS.7.a — Periodic review.</w:t>
      </w:r>
    </w:p>
    <w:p>
      <w:pPr>
        <w:pStyle w:val="ListParagraph"/>
        <w:numPr>
          <w:ilvl w:val="0"/>
          <w:numId w:val="1"/>
        </w:numPr>
        <w:spacing w:after="100"/>
      </w:pPr>
      <w:r>
        <w:t xml:space="preserve">Defined review-periodicity document and review checklist, covering physical and/or electronic records.</w:t>
      </w:r>
    </w:p>
    <w:p>
      <w:pPr>
        <w:pStyle w:val="Heading2"/>
        <w:spacing w:after="100" w:before="160"/>
      </w:pPr>
      <w:r>
        <w:t xml:space="preserve">IMS.7.b — Representative sampling.</w:t>
      </w:r>
    </w:p>
    <w:p>
      <w:pPr>
        <w:pStyle w:val="ListParagraph"/>
        <w:numPr>
          <w:ilvl w:val="0"/>
          <w:numId w:val="1"/>
        </w:numPr>
        <w:spacing w:after="100"/>
      </w:pPr>
      <w:r>
        <w:t xml:space="preserve">Defined sampling-principle record and sample-size calculation based on total discharges/in-patients.</w:t>
      </w:r>
    </w:p>
    <w:p>
      <w:pPr>
        <w:pStyle w:val="Heading2"/>
        <w:spacing w:after="100" w:before="160"/>
      </w:pPr>
      <w:r>
        <w:t xml:space="preserve">IMS.7.c — Identified reviewers.</w:t>
      </w:r>
    </w:p>
    <w:p>
      <w:pPr>
        <w:pStyle w:val="ListParagraph"/>
        <w:numPr>
          <w:ilvl w:val="0"/>
          <w:numId w:val="1"/>
        </w:numPr>
        <w:spacing w:after="100"/>
      </w:pPr>
      <w:r>
        <w:t xml:space="preserve">Authorisation record naming the individuals conducting the review.</w:t>
      </w:r>
    </w:p>
    <w:p>
      <w:pPr>
        <w:pStyle w:val="Heading2"/>
        <w:spacing w:after="100" w:before="160"/>
      </w:pPr>
      <w:r>
        <w:t xml:space="preserve">IMS.7.d — Review parameters.</w:t>
      </w:r>
    </w:p>
    <w:p>
      <w:pPr>
        <w:pStyle w:val="ListParagraph"/>
        <w:numPr>
          <w:ilvl w:val="0"/>
          <w:numId w:val="1"/>
        </w:numPr>
        <w:spacing w:after="100"/>
      </w:pPr>
      <w:r>
        <w:t xml:space="preserve">Review-parameter checklist covering timeliness, legibility, completeness, and any additional parameters used.</w:t>
      </w:r>
    </w:p>
    <w:p>
      <w:pPr>
        <w:pStyle w:val="Heading2"/>
        <w:spacing w:after="100" w:before="160"/>
      </w:pPr>
      <w:r>
        <w:t xml:space="preserve">IMS.7.e — Active/discharged mix.</w:t>
      </w:r>
    </w:p>
    <w:p>
      <w:pPr>
        <w:pStyle w:val="ListParagraph"/>
        <w:numPr>
          <w:ilvl w:val="0"/>
          <w:numId w:val="1"/>
        </w:numPr>
        <w:spacing w:after="100"/>
      </w:pPr>
      <w:r>
        <w:t xml:space="preserve">Sample-composition record confirming an adequate mix of active and discharged patient records.</w:t>
      </w:r>
    </w:p>
    <w:p>
      <w:pPr>
        <w:pStyle w:val="Heading2"/>
        <w:spacing w:after="100" w:before="160"/>
      </w:pPr>
      <w:r>
        <w:t xml:space="preserve">IMS.7.f — Documented deficiencies.</w:t>
      </w:r>
    </w:p>
    <w:p>
      <w:pPr>
        <w:pStyle w:val="ListParagraph"/>
        <w:numPr>
          <w:ilvl w:val="0"/>
          <w:numId w:val="1"/>
        </w:numPr>
        <w:spacing w:after="100"/>
      </w:pPr>
      <w:r>
        <w:t xml:space="preserve">Deficiency log from each review cycle.</w:t>
      </w:r>
    </w:p>
    <w:p>
      <w:pPr>
        <w:pStyle w:val="Heading2"/>
        <w:spacing w:after="100" w:before="160"/>
      </w:pPr>
      <w:r>
        <w:t xml:space="preserve">IMS.7.g — CAPA.</w:t>
      </w:r>
    </w:p>
    <w:p>
      <w:pPr>
        <w:pStyle w:val="ListParagraph"/>
        <w:numPr>
          <w:ilvl w:val="0"/>
          <w:numId w:val="1"/>
        </w:numPr>
        <w:spacing w:after="100"/>
      </w:pPr>
      <w:r>
        <w:t xml:space="preserve">Corrective-action record with defined completion time.</w:t>
      </w:r>
    </w:p>
    <w:p>
      <w:pPr>
        <w:pStyle w:val="ListParagraph"/>
        <w:numPr>
          <w:ilvl w:val="0"/>
          <w:numId w:val="1"/>
        </w:numPr>
        <w:spacing w:after="100"/>
      </w:pPr>
      <w:r>
        <w:t xml:space="preserve">Preventive-action dissemination record to relevant staff.</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IMS.7, "The organisation carries out a review of medical records."</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2026-09-05T10:12:02.973Z</dcterms:created>
  <dcterms:modified xsi:type="dcterms:W3CDTF">2026-09-05T10:12:02.973Z</dcterms:modified>
</cp:coreProperties>
</file>

<file path=docProps/custom.xml><?xml version="1.0" encoding="utf-8"?>
<Properties xmlns="http://schemas.openxmlformats.org/officeDocument/2006/custom-properties" xmlns:vt="http://schemas.openxmlformats.org/officeDocument/2006/docPropsVTypes"/>
</file>