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IPC.1.b — High-risk register and written guidance</w:t>
      </w:r>
    </w:p>
    <w:p>
      <w:r>
        <w:rPr>
          <w:b/>
          <w:sz w:val="30"/>
        </w:rPr>
        <w:t>IPC.1 Record 6 — High-risk register and written guidance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the list and guidance were last reviewed in line with the annual update.” — the specific evidence element IPC.1.b (Commitment*)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team adds or updates an entry the moment a new activity or area is actually identified as high-risk, and reviews the whole list at least annually. The worked example below shows a real entry: on 01-Jan-2026, version was “v1.0”, approved by was “IPC Officer + Medical Superintendent”, confirms this bullet is covered was “Evidence the list and guidance were last reviewed in line with the annual update”.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Not every hospital activity carries the same infection risk, and guidance written for 'everything in general' ends up too vague to actually guide anyone. Naming the genuinely high-risk activities and areas, and writing guidance specifically for each, means staff know exactly what to do differently in OT versus a general ward — not the same generic advice everywhere.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Evidence the list and guidance were last reviewed in line with the annual update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