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IPC.3.c — Transmission-based precautions</w:t>
      </w:r>
    </w:p>
    <w:p>
      <w:r>
        <w:rPr>
          <w:b/>
          <w:sz w:val="30"/>
        </w:rPr>
        <w:t>IPC.3 Record 7 — Transmission-based precautions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Transmission-based precautions are the extra steps (beyond routine standard precautions) taken for a patient known or suspected to carry an infection that spreads by contact, droplet, or air — for example a separate gown, mask, or isolation room. This record is where you keep the proof for: “Written transmission-based precaution guidance covering contact, droplet, and airborne modes with PPE specification for each.” — the specific evidence element IPC.3.c (Commitment*)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audit logs a new entry the moment PPE use for a specific transmission mode is actually observed. The worked example below shows a real entry: on 01-Jan-2026, version was “v1.0”, approved by was “IPC Officer + Medical Superintendent”, confirms this bullet is covered was “Written transmission-based precaution guidance covering contact, droplet, and airborne…”.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Contact, droplet and airborne infections each spread by a different route and need different protective gear — treating them all the same either wastes PPE or leaves a real gap. This record proves the right precaution was matched to the right mode of spread, in actual practice, not just on a wall chart.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Written transmission-based precaution guidance covering contact, droplet, and airborne…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