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IPC.5.b — VAP prevention bundle</w:t>
      </w:r>
    </w:p>
    <w:p>
      <w:r>
        <w:rPr>
          <w:b/>
          <w:sz w:val="30"/>
        </w:rPr>
        <w:t>IPC.5 Record 5 — VAP prevention bundle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VAP stands for Ventilator-Associated Pneumonia — a lung infection that develops in a patient who is on a breathing machine (ventilator). This record is where you keep the proof for: “Compliance monitoring records for the VAP bundle.” — the specific evidence element IPC.5.b of this policy asks for. Every time this activity actually happens, whoever did it adds one new row below with: Date, Patient / UHID, Bundle Element Checked, Compliant (Y/N), Deviation Reason (if N), Action Taken.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bedside nurse logs a new row the moment a real ventilated patient's bundle compliance is actually checked. The worked example below shows a real entry: on 10-Jan-2026, patient / uhid was “UHID 20456”, bundle element checked was “Head-of-bed elevated 30–45° and daily sedation-interruption assessed”, compliant (y/n) was “Y”.</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Ventilator-associated pneumonia is largely preventable with a defined bundle — head-of-bed elevation, oral care, sedation review, cuff-pressure checks — but a bundle that exists only on paper prevents nothing. This record proves the bundle is actually being followed for real ventilated patients, and that the VAP rate is tracked so the hospital knows if it's genuinely working. NABH checks this as part of how a functioning IPC programme actually runs day to day.</w:t>
            </w:r>
          </w:p>
        </w:tc>
      </w:tr>
    </w:tbl>
    <w:p/>
    <w:p>
      <w:r>
        <w:rPr>
          <w:b/>
          <w:sz w:val="22"/>
        </w:rPr>
        <w:t>How to fill this in — column by column</w:t>
      </w:r>
    </w:p>
    <w:p>
      <w:pPr>
        <w:pStyle w:val="ListParagraph"/>
      </w:pPr>
      <w:r>
        <w:rPr>
          <w:b/>
        </w:rPr>
        <w:t xml:space="preserve">Date: </w:t>
      </w:r>
      <w:r>
        <w:t>Date of the check.</w:t>
      </w:r>
    </w:p>
    <w:p>
      <w:pPr>
        <w:pStyle w:val="ListParagraph"/>
      </w:pPr>
      <w:r>
        <w:rPr>
          <w:b/>
        </w:rPr>
        <w:t xml:space="preserve">Patient / UHID: </w:t>
      </w:r>
      <w:r>
        <w:t>The patient's UHID or name.</w:t>
      </w:r>
    </w:p>
    <w:p>
      <w:pPr>
        <w:pStyle w:val="ListParagraph"/>
      </w:pPr>
      <w:r>
        <w:rPr>
          <w:b/>
        </w:rPr>
        <w:t xml:space="preserve">Bundle Element Checked: </w:t>
      </w:r>
      <w:r>
        <w:t>Which specific element of the prevention bundle this row checks — name it exactly, don't write 'bundle compliance' generically.</w:t>
      </w:r>
    </w:p>
    <w:p>
      <w:pPr>
        <w:pStyle w:val="ListParagraph"/>
      </w:pPr>
      <w:r>
        <w:rPr>
          <w:b/>
        </w:rPr>
        <w:t xml:space="preserve">Compliant (Y/N): </w:t>
      </w:r>
      <w:r>
        <w:t>Y or N.</w:t>
      </w:r>
    </w:p>
    <w:p>
      <w:pPr>
        <w:pStyle w:val="ListParagraph"/>
      </w:pPr>
      <w:r>
        <w:rPr>
          <w:b/>
        </w:rPr>
        <w:t xml:space="preserve">Deviation Reason (if N): </w:t>
      </w:r>
      <w:r>
        <w:t>If N, why it wasn't followed.</w:t>
      </w:r>
    </w:p>
    <w:p>
      <w:pPr>
        <w:pStyle w:val="ListParagraph"/>
      </w:pPr>
      <w:r>
        <w:rPr>
          <w:b/>
        </w:rPr>
        <w:t xml:space="preserve">Action Taken: </w:t>
      </w:r>
      <w:r>
        <w:t>What was done about it.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13"/>
        <w:gridCol w:w="1613"/>
        <w:gridCol w:w="1613"/>
        <w:gridCol w:w="1613"/>
        <w:gridCol w:w="1613"/>
        <w:gridCol w:w="1613"/>
      </w:tblGrid>
      <w:tr>
        <w:tc>
          <w:tcPr>
            <w:tcW w:type="dxa" w:w="1613"/>
            <w:shd w:val="clear" w:fill="D9E2F3"/>
          </w:tcPr>
          <w:p>
            <w:r/>
            <w:r>
              <w:rPr>
                <w:b/>
                <w:sz w:val="20"/>
              </w:rPr>
              <w:t>Date</w:t>
            </w:r>
          </w:p>
        </w:tc>
        <w:tc>
          <w:tcPr>
            <w:tcW w:type="dxa" w:w="1613"/>
            <w:shd w:val="clear" w:fill="D9E2F3"/>
          </w:tcPr>
          <w:p>
            <w:r/>
            <w:r>
              <w:rPr>
                <w:b/>
                <w:sz w:val="20"/>
              </w:rPr>
              <w:t>Patient / UHID</w:t>
            </w:r>
          </w:p>
        </w:tc>
        <w:tc>
          <w:tcPr>
            <w:tcW w:type="dxa" w:w="1613"/>
            <w:shd w:val="clear" w:fill="D9E2F3"/>
          </w:tcPr>
          <w:p>
            <w:r/>
            <w:r>
              <w:rPr>
                <w:b/>
                <w:sz w:val="20"/>
              </w:rPr>
              <w:t>Bundle Element Checked</w:t>
            </w:r>
          </w:p>
        </w:tc>
        <w:tc>
          <w:tcPr>
            <w:tcW w:type="dxa" w:w="1613"/>
            <w:shd w:val="clear" w:fill="D9E2F3"/>
          </w:tcPr>
          <w:p>
            <w:r/>
            <w:r>
              <w:rPr>
                <w:b/>
                <w:sz w:val="20"/>
              </w:rPr>
              <w:t>Compliant (Y/N)</w:t>
            </w:r>
          </w:p>
        </w:tc>
        <w:tc>
          <w:tcPr>
            <w:tcW w:type="dxa" w:w="1613"/>
            <w:shd w:val="clear" w:fill="D9E2F3"/>
          </w:tcPr>
          <w:p>
            <w:r/>
            <w:r>
              <w:rPr>
                <w:b/>
                <w:sz w:val="20"/>
              </w:rPr>
              <w:t>Deviation Reason (if N)</w:t>
            </w:r>
          </w:p>
        </w:tc>
        <w:tc>
          <w:tcPr>
            <w:tcW w:type="dxa" w:w="1613"/>
            <w:shd w:val="clear" w:fill="D9E2F3"/>
          </w:tcPr>
          <w:p>
            <w:r/>
            <w:r>
              <w:rPr>
                <w:b/>
                <w:sz w:val="20"/>
              </w:rPr>
              <w:t>Action Taken</w:t>
            </w:r>
          </w:p>
        </w:tc>
      </w:tr>
      <w:tr>
        <w:tc>
          <w:tcPr>
            <w:tcW w:type="dxa" w:w="9678"/>
            <w:gridSpan w:val="6"/>
            <w:shd w:val="clear" w:fill="FFF2CC"/>
          </w:tcPr>
          <w:p>
            <w:r/>
            <w:r>
              <w:rPr>
                <w:b/>
                <w:sz w:val="18"/>
              </w:rPr>
              <w:t>WORKED EXAMPLE — TRAINING ONLY — NOT AN ACTUAL HOSPITAL RECORD</w:t>
            </w:r>
          </w:p>
        </w:tc>
      </w:tr>
      <w:tr>
        <w:tc>
          <w:tcPr>
            <w:tcW w:type="dxa" w:w="1613"/>
            <w:shd w:val="clear" w:fill="FFF2CC"/>
          </w:tcPr>
          <w:p>
            <w:r/>
            <w:r>
              <w:rPr>
                <w:b w:val="0"/>
                <w:sz w:val="20"/>
              </w:rPr>
              <w:t>10-Jan-2026</w:t>
            </w:r>
          </w:p>
        </w:tc>
        <w:tc>
          <w:tcPr>
            <w:tcW w:type="dxa" w:w="1613"/>
            <w:shd w:val="clear" w:fill="FFF2CC"/>
          </w:tcPr>
          <w:p>
            <w:r/>
            <w:r>
              <w:rPr>
                <w:b w:val="0"/>
                <w:sz w:val="20"/>
              </w:rPr>
              <w:t>UHID 20456</w:t>
            </w:r>
          </w:p>
        </w:tc>
        <w:tc>
          <w:tcPr>
            <w:tcW w:type="dxa" w:w="1613"/>
            <w:shd w:val="clear" w:fill="FFF2CC"/>
          </w:tcPr>
          <w:p>
            <w:r/>
            <w:r>
              <w:rPr>
                <w:b w:val="0"/>
                <w:sz w:val="20"/>
              </w:rPr>
              <w:t>Head-of-bed elevated 30–45° and daily sedation-interruption assessed</w:t>
            </w:r>
          </w:p>
        </w:tc>
        <w:tc>
          <w:tcPr>
            <w:tcW w:type="dxa" w:w="1613"/>
            <w:shd w:val="clear" w:fill="FFF2CC"/>
          </w:tcPr>
          <w:p>
            <w:r/>
            <w:r>
              <w:rPr>
                <w:b w:val="0"/>
                <w:sz w:val="20"/>
              </w:rPr>
              <w:t>Y</w:t>
            </w:r>
          </w:p>
        </w:tc>
        <w:tc>
          <w:tcPr>
            <w:tcW w:type="dxa" w:w="1613"/>
            <w:shd w:val="clear" w:fill="FFF2CC"/>
          </w:tcPr>
          <w:p>
            <w:r/>
            <w:r>
              <w:rPr>
                <w:b w:val="0"/>
                <w:sz w:val="20"/>
              </w:rPr>
              <w:t>—</w:t>
            </w:r>
          </w:p>
        </w:tc>
        <w:tc>
          <w:tcPr>
            <w:tcW w:type="dxa" w:w="1613"/>
            <w:shd w:val="clear" w:fill="FFF2CC"/>
          </w:tcPr>
          <w:p>
            <w:r/>
            <w:r>
              <w:rPr>
                <w:b w:val="0"/>
                <w:sz w:val="20"/>
              </w:rPr>
              <w:t>—</w:t>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r>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c>
          <w:tcPr>
            <w:tcW w:type="dxa" w:w="1613"/>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