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IPC.5.c — CLABSI prevention bundle</w:t>
      </w:r>
    </w:p>
    <w:p>
      <w:r>
        <w:rPr>
          <w:b/>
          <w:sz w:val="30"/>
        </w:rPr>
        <w:t>IPC.5 Record 8 — CLABSI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CLABSI stands for Central Line-Associated Bloodstream Infection — a bloodstream infection that develops because of a central line (a large IV catheter placed in a major vein).This record is where you keep the proof for: “Compliance monitoring records for the CLABSI bundle, including insertion and maintenance compliance.” — the specific evidence element IPC.5.c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central-line patient's bundle compliance is actually checked, at insertion or during maintenance. The worked example below shows a real entry: on 10-Jan-2026, patient / uhid was “UHID 20456”, bundle element checked was “Central-line dressing intact and daily line-necessity re-assessed”,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Central-line infections are largely preventable through a defined bundle covering both insertion (maximal barrier precautions, skin antisepsis) and ongoing maintenance (dressing checks, daily necessity review), but only if both halves are actually followed. This record proves the bundle is being followed in real practice, and that the CLABSI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Central-line dressing intact and daily line-necessity re-assessed</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